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5DA002">
      <w:pPr>
        <w:jc w:val="both"/>
        <w:rPr>
          <w:rFonts w:hint="eastAsia" w:ascii="仿宋_GB2312" w:eastAsia="仿宋_GB2312" w:cs="ArialUnicodeMS"/>
          <w:kern w:val="0"/>
          <w:sz w:val="32"/>
          <w:szCs w:val="32"/>
          <w:lang w:val="en-US" w:eastAsia="zh-CN"/>
        </w:rPr>
      </w:pPr>
    </w:p>
    <w:p w14:paraId="0F418829">
      <w:pPr>
        <w:jc w:val="both"/>
        <w:rPr>
          <w:rFonts w:hint="eastAsia" w:ascii="黑体" w:eastAsia="黑体" w:cs="ArialUnicodeMS"/>
          <w:kern w:val="0"/>
          <w:sz w:val="72"/>
          <w:szCs w:val="72"/>
          <w:lang w:val="en-US" w:eastAsia="zh-CN"/>
        </w:rPr>
      </w:pPr>
    </w:p>
    <w:p w14:paraId="551E561A">
      <w:pPr>
        <w:jc w:val="both"/>
        <w:rPr>
          <w:rFonts w:hint="eastAsia" w:ascii="黑体" w:eastAsia="黑体" w:cs="ArialUnicodeMS"/>
          <w:kern w:val="0"/>
          <w:sz w:val="72"/>
          <w:szCs w:val="72"/>
          <w:lang w:val="en-US" w:eastAsia="zh-CN"/>
        </w:rPr>
      </w:pPr>
    </w:p>
    <w:p w14:paraId="255ADDD0">
      <w:pPr>
        <w:jc w:val="center"/>
        <w:rPr>
          <w:rFonts w:hint="default" w:ascii="方正小标宋简体" w:hAnsi="黑体" w:eastAsia="方正小标宋简体"/>
          <w:bCs/>
          <w:color w:val="000000"/>
          <w:sz w:val="52"/>
          <w:szCs w:val="52"/>
          <w:lang w:val="en-US" w:eastAsia="zh-CN"/>
        </w:rPr>
      </w:pPr>
      <w:r>
        <w:rPr>
          <w:rFonts w:hint="eastAsia" w:ascii="方正小标宋简体" w:eastAsia="方正小标宋简体" w:cs="ArialUnicodeMS"/>
          <w:kern w:val="0"/>
          <w:sz w:val="52"/>
          <w:szCs w:val="52"/>
          <w:lang w:val="en-US" w:eastAsia="zh-CN"/>
        </w:rPr>
        <w:t>广西壮族自治区兽医研究所</w:t>
      </w:r>
    </w:p>
    <w:p w14:paraId="286C1DCB">
      <w:pPr>
        <w:jc w:val="center"/>
        <w:rPr>
          <w:rFonts w:hint="eastAsia" w:ascii="方正小标宋简体" w:eastAsia="方正小标宋简体" w:cs="ArialUnicodeMS"/>
          <w:kern w:val="0"/>
          <w:sz w:val="52"/>
          <w:szCs w:val="52"/>
          <w:lang w:val="en-US" w:eastAsia="zh-CN"/>
        </w:rPr>
      </w:pPr>
      <w:r>
        <w:rPr>
          <w:rFonts w:hint="eastAsia" w:ascii="方正小标宋简体" w:eastAsia="方正小标宋简体"/>
          <w:kern w:val="0"/>
          <w:sz w:val="52"/>
          <w:szCs w:val="52"/>
          <w:lang w:val="en-US" w:eastAsia="zh-CN"/>
        </w:rPr>
        <w:t>2025</w:t>
      </w:r>
      <w:r>
        <w:rPr>
          <w:rFonts w:hint="eastAsia" w:ascii="方正小标宋简体" w:eastAsia="方正小标宋简体" w:cs="ArialUnicodeMS"/>
          <w:kern w:val="0"/>
          <w:sz w:val="52"/>
          <w:szCs w:val="52"/>
          <w:lang w:val="en-US" w:eastAsia="zh-CN"/>
        </w:rPr>
        <w:t>年度部门决算</w:t>
      </w:r>
    </w:p>
    <w:p w14:paraId="2BB64EAD">
      <w:pPr>
        <w:jc w:val="both"/>
        <w:rPr>
          <w:rFonts w:hint="eastAsia" w:ascii="方正小标宋简体" w:eastAsia="方正小标宋简体" w:cs="ArialUnicodeMS"/>
          <w:kern w:val="0"/>
          <w:sz w:val="84"/>
          <w:szCs w:val="84"/>
          <w:lang w:val="en-US" w:eastAsia="zh-CN"/>
        </w:rPr>
      </w:pPr>
    </w:p>
    <w:p w14:paraId="08666035">
      <w:pPr>
        <w:jc w:val="both"/>
        <w:rPr>
          <w:rFonts w:hint="eastAsia" w:ascii="ArialUnicodeMS" w:eastAsia="ArialUnicodeMS" w:cs="ArialUnicodeMS"/>
          <w:kern w:val="0"/>
          <w:sz w:val="84"/>
          <w:szCs w:val="84"/>
          <w:lang w:val="en-US" w:eastAsia="zh-CN"/>
        </w:rPr>
      </w:pPr>
    </w:p>
    <w:p w14:paraId="7CD203BE">
      <w:pPr>
        <w:jc w:val="both"/>
        <w:rPr>
          <w:rFonts w:hint="eastAsia" w:ascii="ArialUnicodeMS" w:eastAsia="ArialUnicodeMS" w:cs="ArialUnicodeMS"/>
          <w:kern w:val="0"/>
          <w:sz w:val="84"/>
          <w:szCs w:val="84"/>
          <w:lang w:val="en-US" w:eastAsia="zh-CN"/>
        </w:rPr>
      </w:pPr>
    </w:p>
    <w:p w14:paraId="7841DE9E">
      <w:pPr>
        <w:jc w:val="both"/>
        <w:rPr>
          <w:rFonts w:hint="eastAsia" w:ascii="ArialUnicodeMS" w:eastAsia="ArialUnicodeMS" w:cs="ArialUnicodeMS"/>
          <w:kern w:val="0"/>
          <w:sz w:val="84"/>
          <w:szCs w:val="84"/>
          <w:lang w:val="en-US" w:eastAsia="zh-CN"/>
        </w:rPr>
      </w:pPr>
    </w:p>
    <w:p w14:paraId="2A92B872">
      <w:pPr>
        <w:jc w:val="both"/>
        <w:rPr>
          <w:rFonts w:hint="eastAsia" w:ascii="ArialUnicodeMS" w:eastAsia="ArialUnicodeMS" w:cs="ArialUnicodeMS"/>
          <w:kern w:val="0"/>
          <w:sz w:val="84"/>
          <w:szCs w:val="84"/>
          <w:lang w:val="en-US" w:eastAsia="zh-CN"/>
        </w:rPr>
      </w:pPr>
    </w:p>
    <w:p w14:paraId="4ECE89CA">
      <w:pPr>
        <w:jc w:val="center"/>
        <w:rPr>
          <w:rFonts w:hint="eastAsia" w:ascii="黑体" w:eastAsia="黑体" w:cs="黑体"/>
          <w:kern w:val="0"/>
          <w:sz w:val="44"/>
          <w:szCs w:val="44"/>
          <w:lang w:val="en-US" w:eastAsia="zh-CN"/>
        </w:rPr>
      </w:pPr>
    </w:p>
    <w:p w14:paraId="47F60A28">
      <w:pPr>
        <w:jc w:val="center"/>
        <w:rPr>
          <w:rFonts w:hint="eastAsia" w:ascii="黑体" w:eastAsia="黑体" w:cs="黑体"/>
          <w:kern w:val="0"/>
          <w:sz w:val="44"/>
          <w:szCs w:val="44"/>
          <w:lang w:val="en-US" w:eastAsia="zh-CN"/>
        </w:rPr>
      </w:pPr>
    </w:p>
    <w:p w14:paraId="2A5B283E">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eastAsia" w:ascii="方正小标宋简体" w:eastAsia="方正小标宋简体"/>
          <w:b/>
          <w:sz w:val="44"/>
          <w:szCs w:val="44"/>
          <w:lang w:val="en-US" w:eastAsia="zh-CN"/>
        </w:rPr>
      </w:pPr>
      <w:r>
        <w:rPr>
          <w:rFonts w:hint="eastAsia" w:ascii="方正小标宋简体" w:eastAsia="方正小标宋简体"/>
          <w:b/>
          <w:sz w:val="44"/>
          <w:szCs w:val="44"/>
          <w:lang w:val="en-US" w:eastAsia="zh-CN"/>
        </w:rPr>
        <w:t>目    录</w:t>
      </w:r>
    </w:p>
    <w:p w14:paraId="0508147F">
      <w:pPr>
        <w:spacing w:line="560" w:lineRule="exact"/>
        <w:ind w:firstLine="645"/>
        <w:jc w:val="both"/>
        <w:rPr>
          <w:rFonts w:hint="eastAsia" w:ascii="仿宋_GB2312" w:eastAsia="仿宋_GB2312"/>
          <w:b/>
          <w:sz w:val="32"/>
          <w:szCs w:val="32"/>
          <w:lang w:val="en-US" w:eastAsia="zh-CN"/>
        </w:rPr>
      </w:pPr>
    </w:p>
    <w:p w14:paraId="25CAA87D">
      <w:pPr>
        <w:spacing w:line="560" w:lineRule="exact"/>
        <w:ind w:firstLine="645"/>
        <w:jc w:val="both"/>
        <w:rPr>
          <w:rFonts w:hint="eastAsia" w:ascii="黑体" w:hAnsi="黑体" w:eastAsia="黑体"/>
          <w:sz w:val="32"/>
          <w:szCs w:val="32"/>
          <w:lang w:val="en-US" w:eastAsia="zh-CN"/>
        </w:rPr>
      </w:pPr>
      <w:r>
        <w:rPr>
          <w:rFonts w:hint="eastAsia" w:ascii="黑体" w:hAnsi="黑体" w:eastAsia="黑体"/>
          <w:sz w:val="32"/>
          <w:szCs w:val="32"/>
          <w:lang w:val="en-US" w:eastAsia="zh-CN"/>
        </w:rPr>
        <w:t>第一部分：</w:t>
      </w:r>
      <w:r>
        <w:rPr>
          <w:rFonts w:hint="eastAsia" w:ascii="黑体" w:hAnsi="黑体" w:eastAsia="黑体"/>
          <w:bCs/>
          <w:color w:val="000000"/>
          <w:sz w:val="32"/>
          <w:szCs w:val="32"/>
          <w:u w:val="none"/>
          <w:lang w:val="en-US" w:eastAsia="zh-CN"/>
        </w:rPr>
        <w:t>广西壮族自治区兽医研究所</w:t>
      </w:r>
      <w:r>
        <w:rPr>
          <w:rFonts w:hint="eastAsia" w:ascii="黑体" w:hAnsi="黑体" w:eastAsia="黑体"/>
          <w:sz w:val="32"/>
          <w:szCs w:val="32"/>
          <w:lang w:val="en-US" w:eastAsia="zh-CN"/>
        </w:rPr>
        <w:t>概况</w:t>
      </w:r>
    </w:p>
    <w:p w14:paraId="6C0191EE">
      <w:pPr>
        <w:spacing w:line="560" w:lineRule="exact"/>
        <w:ind w:firstLine="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一、本单位职责</w:t>
      </w:r>
    </w:p>
    <w:p w14:paraId="607BBDC4">
      <w:pPr>
        <w:spacing w:line="560" w:lineRule="exact"/>
        <w:ind w:firstLine="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二、机构设置情况</w:t>
      </w:r>
    </w:p>
    <w:p w14:paraId="4DD96E31">
      <w:pPr>
        <w:spacing w:line="560" w:lineRule="exact"/>
        <w:ind w:firstLine="645"/>
        <w:jc w:val="both"/>
        <w:rPr>
          <w:rFonts w:hint="eastAsia" w:ascii="黑体" w:hAnsi="黑体" w:eastAsia="黑体"/>
          <w:sz w:val="32"/>
          <w:szCs w:val="32"/>
          <w:lang w:val="en-US" w:eastAsia="zh-CN"/>
        </w:rPr>
      </w:pPr>
      <w:r>
        <w:rPr>
          <w:rFonts w:hint="eastAsia" w:ascii="黑体" w:hAnsi="黑体" w:eastAsia="黑体"/>
          <w:sz w:val="32"/>
          <w:szCs w:val="32"/>
          <w:lang w:val="en-US" w:eastAsia="zh-CN"/>
        </w:rPr>
        <w:t>第二部分：</w:t>
      </w:r>
      <w:r>
        <w:rPr>
          <w:rFonts w:hint="eastAsia" w:ascii="黑体" w:hAnsi="黑体" w:eastAsia="黑体"/>
          <w:bCs/>
          <w:color w:val="000000"/>
          <w:sz w:val="32"/>
          <w:szCs w:val="32"/>
          <w:u w:val="none"/>
          <w:lang w:val="en-US" w:eastAsia="zh-CN"/>
        </w:rPr>
        <w:t>广西壮族自治区兽医研究所</w:t>
      </w:r>
      <w:r>
        <w:rPr>
          <w:rFonts w:hint="eastAsia" w:ascii="黑体" w:hAnsi="黑体" w:eastAsia="黑体"/>
          <w:sz w:val="32"/>
          <w:szCs w:val="32"/>
          <w:lang w:val="en-US" w:eastAsia="zh-CN"/>
        </w:rPr>
        <w:t>2025年度部门决算报表</w:t>
      </w:r>
    </w:p>
    <w:p w14:paraId="2C919CFC">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表一：收入支出决算总表</w:t>
      </w:r>
    </w:p>
    <w:p w14:paraId="6AB46986">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表二：收入决算表</w:t>
      </w:r>
    </w:p>
    <w:p w14:paraId="6B5E8B72">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表三：支出决算表</w:t>
      </w:r>
    </w:p>
    <w:p w14:paraId="6609ED2E">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表四：财政拨款收入支出决算总表</w:t>
      </w:r>
    </w:p>
    <w:p w14:paraId="34B953EE">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表五：一般公共预算财政拨款支出决算表</w:t>
      </w:r>
    </w:p>
    <w:p w14:paraId="27275A77">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表六：一般公共预算财政拨款基本支出决算明细表</w:t>
      </w:r>
    </w:p>
    <w:p w14:paraId="3014A3F9">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表七：政府性基金</w:t>
      </w:r>
      <w:r>
        <w:rPr>
          <w:rFonts w:hint="eastAsia" w:ascii="仿宋_GB2312" w:hAnsi="黑体" w:eastAsia="仿宋_GB2312"/>
          <w:sz w:val="32"/>
          <w:szCs w:val="32"/>
          <w:lang w:val="en-US" w:eastAsia="zh-CN"/>
        </w:rPr>
        <w:t>预算财政拨款</w:t>
      </w:r>
      <w:r>
        <w:rPr>
          <w:rFonts w:hint="eastAsia" w:ascii="仿宋_GB2312" w:eastAsia="仿宋_GB2312"/>
          <w:sz w:val="32"/>
          <w:szCs w:val="32"/>
          <w:lang w:val="en-US" w:eastAsia="zh-CN"/>
        </w:rPr>
        <w:t>收入支出决算表</w:t>
      </w:r>
    </w:p>
    <w:p w14:paraId="0DF45F64">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表八：国有资本经营预算</w:t>
      </w:r>
      <w:r>
        <w:rPr>
          <w:rFonts w:hint="eastAsia" w:ascii="仿宋_GB2312" w:hAnsi="黑体" w:eastAsia="仿宋_GB2312"/>
          <w:sz w:val="32"/>
          <w:szCs w:val="32"/>
          <w:lang w:val="en-US" w:eastAsia="zh-CN"/>
        </w:rPr>
        <w:t>财政拨款</w:t>
      </w:r>
      <w:r>
        <w:rPr>
          <w:rFonts w:hint="eastAsia" w:ascii="仿宋_GB2312" w:eastAsia="仿宋_GB2312"/>
          <w:sz w:val="32"/>
          <w:szCs w:val="32"/>
          <w:lang w:val="en-US" w:eastAsia="zh-CN"/>
        </w:rPr>
        <w:t>支出决算表</w:t>
      </w:r>
    </w:p>
    <w:p w14:paraId="2D09D44C">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表九：财政拨款“三公”经费支出决算表</w:t>
      </w:r>
    </w:p>
    <w:p w14:paraId="1B04699B">
      <w:pPr>
        <w:spacing w:line="560" w:lineRule="exact"/>
        <w:ind w:firstLine="645"/>
        <w:jc w:val="both"/>
        <w:rPr>
          <w:rFonts w:hint="eastAsia" w:ascii="黑体" w:hAnsi="黑体" w:eastAsia="黑体"/>
          <w:sz w:val="32"/>
          <w:szCs w:val="32"/>
          <w:lang w:val="en-US" w:eastAsia="zh-CN"/>
        </w:rPr>
      </w:pPr>
      <w:r>
        <w:rPr>
          <w:rFonts w:hint="eastAsia" w:ascii="黑体" w:hAnsi="黑体" w:eastAsia="黑体"/>
          <w:sz w:val="32"/>
          <w:szCs w:val="32"/>
          <w:lang w:val="en-US" w:eastAsia="zh-CN"/>
        </w:rPr>
        <w:t>第三部分：</w:t>
      </w:r>
      <w:r>
        <w:rPr>
          <w:rFonts w:hint="eastAsia" w:ascii="黑体" w:hAnsi="黑体" w:eastAsia="黑体"/>
          <w:bCs/>
          <w:color w:val="000000"/>
          <w:sz w:val="32"/>
          <w:szCs w:val="32"/>
          <w:u w:val="none"/>
          <w:lang w:val="en-US" w:eastAsia="zh-CN"/>
        </w:rPr>
        <w:t>广西壮族自治区兽医研究所</w:t>
      </w:r>
      <w:r>
        <w:rPr>
          <w:rFonts w:hint="eastAsia" w:ascii="黑体" w:hAnsi="黑体" w:eastAsia="黑体"/>
          <w:sz w:val="32"/>
          <w:szCs w:val="32"/>
          <w:lang w:val="en-US" w:eastAsia="zh-CN"/>
        </w:rPr>
        <w:t>2025年度部门决算情况说明</w:t>
      </w:r>
    </w:p>
    <w:p w14:paraId="4335D12D">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一、</w:t>
      </w:r>
      <w:r>
        <w:rPr>
          <w:rFonts w:hint="eastAsia" w:ascii="仿宋_GB2312" w:eastAsia="仿宋_GB2312"/>
          <w:kern w:val="0"/>
          <w:sz w:val="32"/>
          <w:szCs w:val="32"/>
          <w:lang w:val="en-US" w:eastAsia="zh-CN"/>
        </w:rPr>
        <w:t>2025</w:t>
      </w:r>
      <w:r>
        <w:rPr>
          <w:rFonts w:hint="eastAsia" w:ascii="仿宋_GB2312" w:eastAsia="仿宋_GB2312" w:cs="仿宋_GB2312"/>
          <w:kern w:val="0"/>
          <w:sz w:val="32"/>
          <w:szCs w:val="32"/>
          <w:lang w:val="en-US" w:eastAsia="zh-CN"/>
        </w:rPr>
        <w:t>年度收入支出决算总体情况</w:t>
      </w:r>
    </w:p>
    <w:p w14:paraId="21ECF7E2">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二、</w:t>
      </w:r>
      <w:r>
        <w:rPr>
          <w:rFonts w:hint="eastAsia" w:ascii="仿宋_GB2312" w:eastAsia="仿宋_GB2312"/>
          <w:kern w:val="0"/>
          <w:sz w:val="32"/>
          <w:szCs w:val="32"/>
          <w:lang w:val="en-US" w:eastAsia="zh-CN"/>
        </w:rPr>
        <w:t>2025</w:t>
      </w:r>
      <w:r>
        <w:rPr>
          <w:rFonts w:hint="eastAsia" w:ascii="仿宋_GB2312" w:eastAsia="仿宋_GB2312" w:cs="仿宋_GB2312"/>
          <w:kern w:val="0"/>
          <w:sz w:val="32"/>
          <w:szCs w:val="32"/>
          <w:lang w:val="en-US" w:eastAsia="zh-CN"/>
        </w:rPr>
        <w:t>年度</w:t>
      </w:r>
      <w:r>
        <w:rPr>
          <w:rFonts w:hint="eastAsia" w:ascii="仿宋_GB2312" w:eastAsia="仿宋_GB2312"/>
          <w:sz w:val="32"/>
          <w:szCs w:val="32"/>
          <w:lang w:val="en-US" w:eastAsia="zh-CN"/>
        </w:rPr>
        <w:t>一般</w:t>
      </w:r>
      <w:r>
        <w:rPr>
          <w:rFonts w:hint="eastAsia" w:ascii="仿宋_GB2312" w:eastAsia="仿宋_GB2312" w:cs="仿宋_GB2312"/>
          <w:kern w:val="0"/>
          <w:sz w:val="32"/>
          <w:szCs w:val="32"/>
          <w:lang w:val="en-US" w:eastAsia="zh-CN"/>
        </w:rPr>
        <w:t>公共预算财政拨款支出决算情况</w:t>
      </w:r>
    </w:p>
    <w:p w14:paraId="6F8D338A">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三、2025年度一般公共预算财政拨款基本支出决算情况说明</w:t>
      </w:r>
    </w:p>
    <w:p w14:paraId="0498182C">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四、</w:t>
      </w:r>
      <w:r>
        <w:rPr>
          <w:rFonts w:hint="eastAsia" w:ascii="仿宋_GB2312" w:eastAsia="仿宋_GB2312"/>
          <w:kern w:val="0"/>
          <w:sz w:val="32"/>
          <w:szCs w:val="32"/>
          <w:lang w:val="en-US" w:eastAsia="zh-CN"/>
        </w:rPr>
        <w:t>2025</w:t>
      </w:r>
      <w:r>
        <w:rPr>
          <w:rFonts w:hint="eastAsia" w:ascii="仿宋_GB2312" w:eastAsia="仿宋_GB2312" w:cs="仿宋_GB2312"/>
          <w:kern w:val="0"/>
          <w:sz w:val="32"/>
          <w:szCs w:val="32"/>
          <w:lang w:val="en-US" w:eastAsia="zh-CN"/>
        </w:rPr>
        <w:t>年度政府性基金支出决算情况</w:t>
      </w:r>
    </w:p>
    <w:p w14:paraId="2844A6AF">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五、2025年度国有资本经营预算支出决算情况</w:t>
      </w:r>
    </w:p>
    <w:p w14:paraId="6B12D820">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六、财政拨款安排的“三公”经费支出决算情况说明</w:t>
      </w:r>
    </w:p>
    <w:p w14:paraId="620D78FD">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七、其他重要事项情况说明</w:t>
      </w:r>
    </w:p>
    <w:p w14:paraId="68D2C5B2">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八、预算绩效管理工作开展情况</w:t>
      </w:r>
    </w:p>
    <w:p w14:paraId="541C817B">
      <w:pPr>
        <w:autoSpaceDE w:val="0"/>
        <w:autoSpaceDN w:val="0"/>
        <w:adjustRightInd w:val="0"/>
        <w:spacing w:line="560" w:lineRule="exact"/>
        <w:ind w:firstLine="640" w:firstLineChars="200"/>
        <w:jc w:val="left"/>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第四部分：名词解释</w:t>
      </w:r>
    </w:p>
    <w:p w14:paraId="7E94EDD1">
      <w:pPr>
        <w:autoSpaceDE w:val="0"/>
        <w:autoSpaceDN w:val="0"/>
        <w:adjustRightInd w:val="0"/>
        <w:spacing w:line="560" w:lineRule="exact"/>
        <w:ind w:firstLine="640" w:firstLineChars="200"/>
        <w:jc w:val="left"/>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第五部分：附件</w:t>
      </w:r>
    </w:p>
    <w:p w14:paraId="3AA0F6C5">
      <w:pPr>
        <w:jc w:val="both"/>
        <w:rPr>
          <w:rFonts w:hint="eastAsia" w:ascii="仿宋_GB2312" w:eastAsia="仿宋_GB2312"/>
          <w:b/>
          <w:sz w:val="32"/>
          <w:szCs w:val="32"/>
          <w:lang w:val="en-US" w:eastAsia="zh-CN"/>
        </w:rPr>
      </w:pPr>
    </w:p>
    <w:p w14:paraId="51CE4DF3">
      <w:pPr>
        <w:jc w:val="both"/>
        <w:rPr>
          <w:rFonts w:hint="eastAsia" w:ascii="仿宋_GB2312" w:eastAsia="仿宋_GB2312"/>
          <w:b/>
          <w:sz w:val="32"/>
          <w:szCs w:val="32"/>
          <w:lang w:val="en-US" w:eastAsia="zh-CN"/>
        </w:rPr>
      </w:pPr>
    </w:p>
    <w:p w14:paraId="75B657BB">
      <w:pPr>
        <w:jc w:val="both"/>
        <w:rPr>
          <w:rFonts w:hint="eastAsia" w:ascii="仿宋_GB2312" w:eastAsia="仿宋_GB2312"/>
          <w:b/>
          <w:sz w:val="32"/>
          <w:szCs w:val="32"/>
          <w:lang w:val="en-US" w:eastAsia="zh-CN"/>
        </w:rPr>
      </w:pPr>
    </w:p>
    <w:p w14:paraId="034326C6">
      <w:pPr>
        <w:jc w:val="both"/>
        <w:rPr>
          <w:rFonts w:hint="eastAsia" w:ascii="仿宋_GB2312" w:eastAsia="仿宋_GB2312"/>
          <w:b/>
          <w:sz w:val="32"/>
          <w:szCs w:val="32"/>
          <w:lang w:val="en-US" w:eastAsia="zh-CN"/>
        </w:rPr>
      </w:pPr>
    </w:p>
    <w:p w14:paraId="5EB73613">
      <w:pPr>
        <w:jc w:val="both"/>
        <w:rPr>
          <w:rFonts w:hint="eastAsia" w:ascii="仿宋_GB2312" w:eastAsia="仿宋_GB2312"/>
          <w:b/>
          <w:sz w:val="32"/>
          <w:szCs w:val="32"/>
          <w:lang w:val="en-US" w:eastAsia="zh-CN"/>
        </w:rPr>
      </w:pPr>
    </w:p>
    <w:p w14:paraId="6C0D2A46">
      <w:pPr>
        <w:jc w:val="both"/>
        <w:rPr>
          <w:rFonts w:hint="eastAsia" w:ascii="仿宋_GB2312" w:eastAsia="仿宋_GB2312"/>
          <w:b/>
          <w:sz w:val="32"/>
          <w:szCs w:val="32"/>
          <w:lang w:val="en-US" w:eastAsia="zh-CN"/>
        </w:rPr>
      </w:pPr>
    </w:p>
    <w:p w14:paraId="0318885C">
      <w:pPr>
        <w:jc w:val="both"/>
        <w:rPr>
          <w:rFonts w:hint="eastAsia" w:ascii="仿宋_GB2312" w:eastAsia="仿宋_GB2312"/>
          <w:b/>
          <w:sz w:val="32"/>
          <w:szCs w:val="32"/>
          <w:lang w:val="en-US" w:eastAsia="zh-CN"/>
        </w:rPr>
      </w:pPr>
    </w:p>
    <w:p w14:paraId="6CDDF47B">
      <w:pPr>
        <w:jc w:val="both"/>
        <w:rPr>
          <w:rFonts w:hint="eastAsia" w:ascii="仿宋_GB2312" w:eastAsia="仿宋_GB2312"/>
          <w:b/>
          <w:sz w:val="32"/>
          <w:szCs w:val="32"/>
          <w:lang w:val="en-US" w:eastAsia="zh-CN"/>
        </w:rPr>
      </w:pPr>
    </w:p>
    <w:p w14:paraId="226CCD0A">
      <w:pPr>
        <w:jc w:val="both"/>
        <w:rPr>
          <w:rFonts w:hint="eastAsia" w:ascii="仿宋_GB2312" w:eastAsia="仿宋_GB2312"/>
          <w:b/>
          <w:sz w:val="32"/>
          <w:szCs w:val="32"/>
          <w:lang w:val="en-US" w:eastAsia="zh-CN"/>
        </w:rPr>
      </w:pPr>
    </w:p>
    <w:p w14:paraId="6FF1DF9C">
      <w:pPr>
        <w:jc w:val="both"/>
        <w:rPr>
          <w:rFonts w:hint="eastAsia" w:ascii="仿宋_GB2312" w:eastAsia="仿宋_GB2312"/>
          <w:b/>
          <w:sz w:val="32"/>
          <w:szCs w:val="32"/>
          <w:lang w:val="en-US" w:eastAsia="zh-CN"/>
        </w:rPr>
      </w:pPr>
    </w:p>
    <w:p w14:paraId="61264954">
      <w:pPr>
        <w:jc w:val="both"/>
        <w:rPr>
          <w:rFonts w:hint="eastAsia" w:ascii="仿宋_GB2312" w:eastAsia="仿宋_GB2312"/>
          <w:b/>
          <w:sz w:val="32"/>
          <w:szCs w:val="32"/>
          <w:lang w:val="en-US" w:eastAsia="zh-CN"/>
        </w:rPr>
      </w:pPr>
    </w:p>
    <w:p w14:paraId="41CCD35A">
      <w:pPr>
        <w:jc w:val="both"/>
        <w:rPr>
          <w:rFonts w:hint="eastAsia" w:ascii="仿宋_GB2312" w:eastAsia="仿宋_GB2312"/>
          <w:b/>
          <w:sz w:val="32"/>
          <w:szCs w:val="32"/>
          <w:lang w:val="en-US" w:eastAsia="zh-CN"/>
        </w:rPr>
      </w:pPr>
    </w:p>
    <w:p w14:paraId="29CDB647">
      <w:pPr>
        <w:jc w:val="both"/>
        <w:rPr>
          <w:rFonts w:hint="eastAsia" w:ascii="仿宋_GB2312" w:eastAsia="仿宋_GB2312"/>
          <w:b/>
          <w:sz w:val="32"/>
          <w:szCs w:val="32"/>
          <w:lang w:val="en-US" w:eastAsia="zh-CN"/>
        </w:rPr>
      </w:pPr>
    </w:p>
    <w:p w14:paraId="5323E77B">
      <w:pPr>
        <w:jc w:val="both"/>
        <w:rPr>
          <w:rFonts w:hint="eastAsia" w:ascii="仿宋_GB2312" w:eastAsia="仿宋_GB2312"/>
          <w:b/>
          <w:sz w:val="32"/>
          <w:szCs w:val="32"/>
          <w:lang w:val="en-US" w:eastAsia="zh-CN"/>
        </w:rPr>
      </w:pPr>
    </w:p>
    <w:p w14:paraId="3E8CE06F">
      <w:pPr>
        <w:jc w:val="both"/>
        <w:rPr>
          <w:rFonts w:hint="eastAsia" w:ascii="仿宋_GB2312" w:eastAsia="仿宋_GB2312"/>
          <w:b/>
          <w:sz w:val="32"/>
          <w:szCs w:val="32"/>
          <w:lang w:val="en-US" w:eastAsia="zh-CN"/>
        </w:rPr>
      </w:pPr>
    </w:p>
    <w:p w14:paraId="751CD8C7">
      <w:pPr>
        <w:jc w:val="both"/>
        <w:rPr>
          <w:rFonts w:hint="eastAsia" w:ascii="仿宋_GB2312" w:eastAsia="仿宋_GB2312"/>
          <w:b/>
          <w:sz w:val="32"/>
          <w:szCs w:val="32"/>
          <w:lang w:val="en-US" w:eastAsia="zh-CN"/>
        </w:rPr>
      </w:pPr>
    </w:p>
    <w:p w14:paraId="29BBB1B2">
      <w:pPr>
        <w:jc w:val="both"/>
        <w:rPr>
          <w:rFonts w:hint="eastAsia" w:ascii="仿宋_GB2312" w:eastAsia="仿宋_GB2312"/>
          <w:b/>
          <w:sz w:val="32"/>
          <w:szCs w:val="32"/>
          <w:lang w:val="en-US" w:eastAsia="zh-CN"/>
        </w:rPr>
      </w:pPr>
    </w:p>
    <w:p w14:paraId="719E50F6">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第一部分：</w:t>
      </w:r>
      <w:r>
        <w:rPr>
          <w:rFonts w:hint="eastAsia" w:ascii="黑体" w:hAnsi="黑体" w:eastAsia="黑体"/>
          <w:bCs/>
          <w:color w:val="000000"/>
          <w:sz w:val="32"/>
          <w:szCs w:val="32"/>
          <w:u w:val="none"/>
          <w:lang w:val="en-US" w:eastAsia="zh-CN"/>
        </w:rPr>
        <w:t>广西壮族自治区兽医研究所</w:t>
      </w:r>
      <w:r>
        <w:rPr>
          <w:rFonts w:hint="eastAsia" w:ascii="黑体" w:hAnsi="黑体" w:eastAsia="黑体"/>
          <w:sz w:val="32"/>
          <w:szCs w:val="32"/>
          <w:lang w:val="en-US" w:eastAsia="zh-CN"/>
        </w:rPr>
        <w:t>概况</w:t>
      </w:r>
    </w:p>
    <w:p w14:paraId="5CBF5E92">
      <w:pPr>
        <w:spacing w:line="560" w:lineRule="exact"/>
        <w:ind w:firstLine="646"/>
        <w:jc w:val="both"/>
        <w:rPr>
          <w:rFonts w:hint="eastAsia" w:ascii="黑体" w:hAnsi="黑体" w:eastAsia="黑体"/>
          <w:sz w:val="32"/>
          <w:szCs w:val="32"/>
          <w:lang w:val="en-US" w:eastAsia="zh-CN"/>
        </w:rPr>
      </w:pPr>
      <w:r>
        <w:rPr>
          <w:rFonts w:hint="eastAsia" w:ascii="黑体" w:hAnsi="黑体" w:eastAsia="黑体"/>
          <w:sz w:val="32"/>
          <w:szCs w:val="32"/>
          <w:lang w:val="en-US" w:eastAsia="zh-CN"/>
        </w:rPr>
        <w:t>一、本单位职责</w:t>
      </w:r>
    </w:p>
    <w:p w14:paraId="578CD02A">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广西壮族自治区兽医研究所是从事动物疫病防控和人兽共患病防治的专业性科技机构，主要研究领域包括动物疫病病原生态学、快速诊断技术、致病及免疫机理、新型高效疫苗和中兽药研发，针对动物疫病综合防控亟待解决的重大科学问题和关键技术进行研究，为畜牧业健康发展提供技术支撑，确保畜牧业和公共卫生安全。</w:t>
      </w:r>
    </w:p>
    <w:p w14:paraId="5D719AFB">
      <w:pPr>
        <w:spacing w:line="560" w:lineRule="exact"/>
        <w:ind w:firstLine="646"/>
        <w:jc w:val="both"/>
        <w:rPr>
          <w:rFonts w:hint="eastAsia" w:ascii="黑体" w:hAnsi="黑体" w:eastAsia="黑体"/>
          <w:sz w:val="32"/>
          <w:szCs w:val="32"/>
          <w:lang w:val="en-US" w:eastAsia="zh-CN"/>
        </w:rPr>
      </w:pPr>
      <w:r>
        <w:rPr>
          <w:rFonts w:hint="eastAsia" w:ascii="黑体" w:hAnsi="黑体" w:eastAsia="黑体"/>
          <w:sz w:val="32"/>
          <w:szCs w:val="32"/>
          <w:lang w:val="en-US" w:eastAsia="zh-CN"/>
        </w:rPr>
        <w:t>二、机构设置情况</w:t>
      </w:r>
    </w:p>
    <w:p w14:paraId="01B61A63">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广西壮族自治区兽医研究所是全额拨款公益一类事业单位，机构规格为正处级。内设兽医技术研究室、病毒研究室、细菌研究室、畜禽疫病诊治中心、新兽药研发中心5个研究部门以及人事科、财务科、办公室、业务室4个职能部门。核定全额拨款事业编制110名，其中处级领导职数4名（所长1名、副所长3名）。</w:t>
      </w:r>
    </w:p>
    <w:p w14:paraId="582AD374">
      <w:pPr>
        <w:ind w:firstLine="645"/>
        <w:jc w:val="both"/>
        <w:rPr>
          <w:rFonts w:hint="eastAsia" w:ascii="仿宋_GB2312" w:eastAsia="仿宋_GB2312"/>
          <w:sz w:val="32"/>
          <w:szCs w:val="32"/>
          <w:lang w:val="en-US" w:eastAsia="zh-CN"/>
        </w:rPr>
      </w:pPr>
    </w:p>
    <w:p w14:paraId="7EED5ACD">
      <w:pPr>
        <w:ind w:firstLine="645"/>
        <w:jc w:val="both"/>
        <w:rPr>
          <w:rFonts w:hint="eastAsia" w:ascii="仿宋_GB2312" w:eastAsia="仿宋_GB2312"/>
          <w:sz w:val="32"/>
          <w:szCs w:val="32"/>
          <w:lang w:val="en-US" w:eastAsia="zh-CN"/>
        </w:rPr>
      </w:pPr>
    </w:p>
    <w:p w14:paraId="4AD69F3A">
      <w:pPr>
        <w:jc w:val="center"/>
        <w:rPr>
          <w:rFonts w:hint="eastAsia"/>
          <w:lang w:val="en-US" w:eastAsia="zh-CN"/>
        </w:rPr>
      </w:pPr>
    </w:p>
    <w:p w14:paraId="114705FB">
      <w:pPr>
        <w:jc w:val="center"/>
        <w:rPr>
          <w:lang w:val="en-US" w:eastAsia="zh-CN"/>
        </w:rPr>
      </w:pPr>
    </w:p>
    <w:p w14:paraId="1C1C0CE7">
      <w:pPr>
        <w:jc w:val="center"/>
        <w:rPr>
          <w:lang w:val="en-US" w:eastAsia="zh-CN"/>
        </w:rPr>
      </w:pPr>
    </w:p>
    <w:p w14:paraId="2FC9CD44">
      <w:pPr>
        <w:jc w:val="center"/>
        <w:rPr>
          <w:lang w:val="en-US" w:eastAsia="zh-CN"/>
        </w:rPr>
      </w:pPr>
    </w:p>
    <w:p w14:paraId="1E0EF8A2">
      <w:pPr>
        <w:jc w:val="center"/>
        <w:rPr>
          <w:lang w:val="en-US" w:eastAsia="zh-CN"/>
        </w:rPr>
      </w:pPr>
    </w:p>
    <w:p w14:paraId="101FC86D">
      <w:pPr>
        <w:jc w:val="center"/>
        <w:rPr>
          <w:lang w:val="en-US" w:eastAsia="zh-CN"/>
        </w:rPr>
      </w:pPr>
    </w:p>
    <w:p w14:paraId="7BBC9370">
      <w:pPr>
        <w:jc w:val="center"/>
        <w:rPr>
          <w:lang w:val="en-US" w:eastAsia="zh-CN"/>
        </w:rPr>
      </w:pPr>
    </w:p>
    <w:p w14:paraId="520D9EEB">
      <w:pPr>
        <w:jc w:val="both"/>
        <w:rPr>
          <w:rFonts w:hint="eastAsia" w:ascii="仿宋_GB2312" w:eastAsia="仿宋_GB2312"/>
          <w:b/>
          <w:sz w:val="32"/>
          <w:szCs w:val="32"/>
          <w:lang w:val="en-US" w:eastAsia="zh-CN"/>
        </w:rPr>
      </w:pPr>
    </w:p>
    <w:p w14:paraId="3AF40935">
      <w:pPr>
        <w:jc w:val="both"/>
        <w:rPr>
          <w:rFonts w:hint="eastAsia" w:ascii="仿宋_GB2312" w:eastAsia="仿宋_GB2312"/>
          <w:b/>
          <w:sz w:val="32"/>
          <w:szCs w:val="32"/>
          <w:lang w:val="en-US" w:eastAsia="zh-CN"/>
        </w:rPr>
      </w:pPr>
    </w:p>
    <w:p w14:paraId="325E73DC">
      <w:pPr>
        <w:jc w:val="both"/>
        <w:rPr>
          <w:rFonts w:hint="eastAsia" w:ascii="仿宋_GB2312" w:eastAsia="仿宋_GB2312"/>
          <w:b/>
          <w:sz w:val="32"/>
          <w:szCs w:val="32"/>
          <w:lang w:val="en-US" w:eastAsia="zh-CN"/>
        </w:rPr>
      </w:pPr>
      <w:bookmarkStart w:id="0" w:name="_GoBack"/>
      <w:bookmarkEnd w:id="0"/>
    </w:p>
    <w:p w14:paraId="0C944781">
      <w:pPr>
        <w:spacing w:line="560" w:lineRule="exact"/>
        <w:jc w:val="center"/>
        <w:rPr>
          <w:rFonts w:ascii="黑体" w:hAnsi="黑体" w:eastAsia="黑体"/>
          <w:sz w:val="32"/>
          <w:szCs w:val="32"/>
          <w:lang w:val="en-US" w:eastAsia="zh-CN"/>
        </w:rPr>
      </w:pPr>
      <w:r>
        <w:rPr>
          <w:rFonts w:hint="eastAsia" w:ascii="黑体" w:hAnsi="黑体" w:eastAsia="黑体"/>
          <w:sz w:val="32"/>
          <w:szCs w:val="32"/>
          <w:lang w:val="en-US" w:eastAsia="zh-CN"/>
        </w:rPr>
        <w:t>第二部分：</w:t>
      </w:r>
      <w:r>
        <w:rPr>
          <w:rFonts w:hint="eastAsia" w:ascii="黑体" w:hAnsi="黑体" w:eastAsia="黑体"/>
          <w:bCs/>
          <w:color w:val="000000"/>
          <w:sz w:val="32"/>
          <w:szCs w:val="32"/>
          <w:u w:val="none"/>
          <w:lang w:val="en-US" w:eastAsia="zh-CN"/>
        </w:rPr>
        <w:t>广西壮族自治区兽医研究所</w:t>
      </w:r>
      <w:r>
        <w:rPr>
          <w:rFonts w:hint="eastAsia" w:ascii="黑体" w:hAnsi="黑体" w:eastAsia="黑体"/>
          <w:sz w:val="32"/>
          <w:szCs w:val="32"/>
          <w:lang w:val="en-US" w:eastAsia="zh-CN"/>
        </w:rPr>
        <w:t>2025年度部门决算报表</w:t>
      </w:r>
    </w:p>
    <w:p w14:paraId="1C525871">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表一：收入支出决算总表</w:t>
      </w:r>
    </w:p>
    <w:p w14:paraId="609C8E4B">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表二：收入决算表</w:t>
      </w:r>
    </w:p>
    <w:p w14:paraId="44039BCA">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表三：支出决算表</w:t>
      </w:r>
    </w:p>
    <w:p w14:paraId="03F25E96">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表四：财政拨款收入支出决算总表</w:t>
      </w:r>
    </w:p>
    <w:p w14:paraId="0FCBACA3">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表五：一般公共预算财政拨款支出决算表</w:t>
      </w:r>
    </w:p>
    <w:p w14:paraId="33A5A88E">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表六：一般公共预算财政拨款基本支出决算明细表</w:t>
      </w:r>
    </w:p>
    <w:p w14:paraId="5F39E22A">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表七：政府性基金</w:t>
      </w:r>
      <w:r>
        <w:rPr>
          <w:rFonts w:hint="eastAsia" w:ascii="仿宋_GB2312" w:hAnsi="黑体" w:eastAsia="仿宋_GB2312"/>
          <w:sz w:val="32"/>
          <w:szCs w:val="32"/>
          <w:lang w:val="en-US" w:eastAsia="zh-CN"/>
        </w:rPr>
        <w:t>预算财政拨款</w:t>
      </w:r>
      <w:r>
        <w:rPr>
          <w:rFonts w:hint="eastAsia" w:ascii="仿宋_GB2312" w:eastAsia="仿宋_GB2312"/>
          <w:sz w:val="32"/>
          <w:szCs w:val="32"/>
          <w:lang w:val="en-US" w:eastAsia="zh-CN"/>
        </w:rPr>
        <w:t>收入支出决算表</w:t>
      </w:r>
    </w:p>
    <w:p w14:paraId="1DFA5108">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表八：国有资本经营预算</w:t>
      </w:r>
      <w:r>
        <w:rPr>
          <w:rFonts w:hint="eastAsia" w:ascii="仿宋_GB2312" w:hAnsi="黑体" w:eastAsia="仿宋_GB2312"/>
          <w:sz w:val="32"/>
          <w:szCs w:val="32"/>
          <w:lang w:val="en-US" w:eastAsia="zh-CN"/>
        </w:rPr>
        <w:t>财政拨款</w:t>
      </w:r>
      <w:r>
        <w:rPr>
          <w:rFonts w:hint="eastAsia" w:ascii="仿宋_GB2312" w:eastAsia="仿宋_GB2312"/>
          <w:sz w:val="32"/>
          <w:szCs w:val="32"/>
          <w:lang w:val="en-US" w:eastAsia="zh-CN"/>
        </w:rPr>
        <w:t>支出决算表</w:t>
      </w:r>
    </w:p>
    <w:p w14:paraId="0F37D95E">
      <w:pPr>
        <w:spacing w:line="560" w:lineRule="exact"/>
        <w:ind w:left="645"/>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表九：财政拨款“三公”经费支出决算表</w:t>
      </w:r>
    </w:p>
    <w:p w14:paraId="4B77968C">
      <w:pPr>
        <w:spacing w:line="560" w:lineRule="exact"/>
        <w:ind w:firstLine="640"/>
        <w:jc w:val="both"/>
        <w:rPr>
          <w:rFonts w:hint="eastAsia" w:ascii="黑体" w:hAnsi="黑体" w:eastAsia="黑体"/>
          <w:sz w:val="32"/>
          <w:szCs w:val="32"/>
          <w:lang w:val="en-US" w:eastAsia="zh-CN"/>
        </w:rPr>
      </w:pPr>
      <w:r>
        <w:rPr>
          <w:rFonts w:hint="eastAsia" w:ascii="仿宋_GB2312" w:hAnsi="黑体" w:eastAsia="仿宋_GB2312"/>
          <w:sz w:val="32"/>
          <w:szCs w:val="32"/>
          <w:lang w:val="en-US" w:eastAsia="zh-CN"/>
        </w:rPr>
        <w:t>上述报表详见《</w:t>
      </w:r>
      <w:r>
        <w:rPr>
          <w:rFonts w:hint="eastAsia" w:ascii="黑体" w:hAnsi="黑体" w:eastAsia="黑体"/>
          <w:bCs/>
          <w:color w:val="000000"/>
          <w:sz w:val="32"/>
          <w:szCs w:val="32"/>
          <w:u w:val="none"/>
          <w:lang w:val="en-US" w:eastAsia="zh-CN"/>
        </w:rPr>
        <w:t>广西壮族自治区兽医研究所</w:t>
      </w:r>
      <w:r>
        <w:rPr>
          <w:rFonts w:hint="eastAsia" w:ascii="仿宋_GB2312" w:hAnsi="黑体" w:eastAsia="仿宋_GB2312"/>
          <w:sz w:val="32"/>
          <w:szCs w:val="32"/>
          <w:lang w:val="en-US" w:eastAsia="zh-CN"/>
        </w:rPr>
        <w:t>2025年度部门决算公开报表》</w:t>
      </w:r>
    </w:p>
    <w:p w14:paraId="098BF259">
      <w:pPr>
        <w:spacing w:line="560" w:lineRule="exact"/>
        <w:jc w:val="center"/>
        <w:rPr>
          <w:rFonts w:hint="eastAsia"/>
          <w:lang w:val="en-US" w:eastAsia="zh-CN"/>
        </w:rPr>
      </w:pPr>
    </w:p>
    <w:p w14:paraId="18041F92">
      <w:pPr>
        <w:spacing w:line="560" w:lineRule="exact"/>
        <w:jc w:val="both"/>
        <w:rPr>
          <w:rFonts w:hint="eastAsia" w:ascii="仿宋_GB2312" w:eastAsia="仿宋_GB2312"/>
          <w:b/>
          <w:sz w:val="32"/>
          <w:szCs w:val="32"/>
          <w:lang w:val="en-US" w:eastAsia="zh-CN"/>
        </w:rPr>
        <w:sectPr>
          <w:footerReference r:id="rId3" w:type="default"/>
          <w:footerReference r:id="rId4" w:type="even"/>
          <w:pgSz w:w="11906" w:h="16838"/>
          <w:pgMar w:top="1440" w:right="1800" w:bottom="1440" w:left="1800" w:header="851" w:footer="992" w:gutter="0"/>
          <w:cols w:space="720" w:num="1"/>
          <w:docGrid w:type="lines" w:linePitch="312" w:charSpace="0"/>
        </w:sectPr>
      </w:pPr>
    </w:p>
    <w:p w14:paraId="5A699F67">
      <w:pPr>
        <w:spacing w:line="560" w:lineRule="exact"/>
        <w:ind w:firstLine="640" w:firstLineChars="200"/>
        <w:jc w:val="both"/>
        <w:rPr>
          <w:rFonts w:hint="eastAsia" w:ascii="黑体" w:hAnsi="黑体" w:eastAsia="黑体"/>
          <w:sz w:val="32"/>
          <w:szCs w:val="32"/>
          <w:lang w:val="en-US" w:eastAsia="zh-CN"/>
        </w:rPr>
      </w:pPr>
      <w:r>
        <w:rPr>
          <w:rFonts w:hint="eastAsia" w:ascii="黑体" w:hAnsi="黑体" w:eastAsia="黑体"/>
          <w:sz w:val="32"/>
          <w:szCs w:val="32"/>
          <w:lang w:val="en-US" w:eastAsia="zh-CN"/>
        </w:rPr>
        <w:t>第三部分：</w:t>
      </w:r>
      <w:r>
        <w:rPr>
          <w:rFonts w:hint="eastAsia" w:ascii="黑体" w:hAnsi="黑体" w:eastAsia="黑体"/>
          <w:bCs/>
          <w:color w:val="000000"/>
          <w:sz w:val="32"/>
          <w:szCs w:val="32"/>
          <w:u w:val="none"/>
          <w:lang w:val="en-US" w:eastAsia="zh-CN"/>
        </w:rPr>
        <w:t>广西壮族自治区兽医研究所</w:t>
      </w:r>
      <w:r>
        <w:rPr>
          <w:rFonts w:hint="eastAsia" w:ascii="黑体" w:hAnsi="黑体" w:eastAsia="黑体"/>
          <w:sz w:val="32"/>
          <w:szCs w:val="32"/>
          <w:lang w:val="en-US" w:eastAsia="zh-CN"/>
        </w:rPr>
        <w:t>2025年度部门决算情况说明</w:t>
      </w:r>
    </w:p>
    <w:p w14:paraId="23A9CD8F">
      <w:pPr>
        <w:autoSpaceDE w:val="0"/>
        <w:autoSpaceDN w:val="0"/>
        <w:adjustRightInd w:val="0"/>
        <w:spacing w:line="560" w:lineRule="exact"/>
        <w:ind w:firstLine="640" w:firstLineChars="200"/>
        <w:jc w:val="left"/>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一、</w:t>
      </w:r>
      <w:r>
        <w:rPr>
          <w:rFonts w:hint="eastAsia" w:ascii="黑体" w:hAnsi="黑体" w:eastAsia="黑体"/>
          <w:kern w:val="0"/>
          <w:sz w:val="32"/>
          <w:szCs w:val="32"/>
          <w:lang w:val="en-US" w:eastAsia="zh-CN"/>
        </w:rPr>
        <w:t>2025</w:t>
      </w:r>
      <w:r>
        <w:rPr>
          <w:rFonts w:hint="eastAsia" w:ascii="黑体" w:hAnsi="黑体" w:eastAsia="黑体" w:cs="仿宋_GB2312"/>
          <w:kern w:val="0"/>
          <w:sz w:val="32"/>
          <w:szCs w:val="32"/>
          <w:lang w:val="en-US" w:eastAsia="zh-CN"/>
        </w:rPr>
        <w:t>年度收入支出决算总体情况</w:t>
      </w:r>
    </w:p>
    <w:p w14:paraId="496DB21F">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（一）本单位2025年度总收入3,852.37万元，其中本年收入3,845.13万元，较2024年度决算数增加271.03万元，增长7.58%。收入具体情况如下。</w:t>
      </w:r>
    </w:p>
    <w:p w14:paraId="282DCEB0">
      <w:pPr>
        <w:autoSpaceDE w:val="0"/>
        <w:autoSpaceDN w:val="0"/>
        <w:adjustRightInd w:val="0"/>
        <w:spacing w:line="560" w:lineRule="exact"/>
        <w:ind w:firstLine="627" w:firstLineChars="196"/>
        <w:jc w:val="both"/>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1</w:t>
      </w:r>
      <w:r>
        <w:rPr>
          <w:rFonts w:hint="eastAsia" w:ascii="仿宋_GB2312" w:eastAsia="仿宋_GB2312" w:cs="仿宋_GB2312"/>
          <w:kern w:val="0"/>
          <w:sz w:val="32"/>
          <w:szCs w:val="32"/>
          <w:lang w:val="en-US" w:eastAsia="zh-CN"/>
        </w:rPr>
        <w:t>.一般公共预算财政拨款收入3,188.89万元，为自治区本级财政当年拨付的资金。较2024年度决算数增加217.60万元，增长7.32%，主要原因是人员经费增加</w:t>
      </w:r>
      <w:r>
        <w:rPr>
          <w:rFonts w:hint="eastAsia" w:ascii="仿宋_GB2312" w:hAnsi="黑体" w:eastAsia="仿宋_GB2312" w:cs="仿宋_GB2312"/>
          <w:kern w:val="0"/>
          <w:sz w:val="32"/>
          <w:szCs w:val="32"/>
          <w:lang w:val="en-US" w:eastAsia="zh-CN"/>
        </w:rPr>
        <w:t>。</w:t>
      </w:r>
    </w:p>
    <w:p w14:paraId="6D5FB19D">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2.政府性基金预算财政拨款收入0万元，为自治区本级财政当年拨付的资金。较2024年度决算数持平，主要原因是本所无政府性基金预算财政拨款收入</w:t>
      </w:r>
      <w:r>
        <w:rPr>
          <w:rFonts w:hint="eastAsia" w:ascii="仿宋_GB2312" w:hAnsi="黑体" w:eastAsia="仿宋_GB2312" w:cs="仿宋_GB2312"/>
          <w:kern w:val="0"/>
          <w:sz w:val="32"/>
          <w:szCs w:val="32"/>
          <w:lang w:val="en-US" w:eastAsia="zh-CN"/>
        </w:rPr>
        <w:t>。</w:t>
      </w:r>
    </w:p>
    <w:p w14:paraId="471D0C82">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3</w:t>
      </w:r>
      <w:r>
        <w:rPr>
          <w:rFonts w:hint="eastAsia" w:ascii="仿宋_GB2312" w:eastAsia="仿宋_GB2312" w:cs="仿宋_GB2312"/>
          <w:kern w:val="0"/>
          <w:sz w:val="32"/>
          <w:szCs w:val="32"/>
          <w:lang w:val="en-US" w:eastAsia="zh-CN"/>
        </w:rPr>
        <w:t>.国有资本经营预算财政拨款收入0万元，为自治区本级财政当年拨付的资金。较2024年度决算数持平，主要原因是本所无国有资本经营预算财政拨款收入</w:t>
      </w:r>
      <w:r>
        <w:rPr>
          <w:rFonts w:hint="eastAsia" w:ascii="仿宋_GB2312" w:hAnsi="黑体" w:eastAsia="仿宋_GB2312" w:cs="仿宋_GB2312"/>
          <w:kern w:val="0"/>
          <w:sz w:val="32"/>
          <w:szCs w:val="32"/>
          <w:lang w:val="en-US" w:eastAsia="zh-CN"/>
        </w:rPr>
        <w:t>。</w:t>
      </w:r>
    </w:p>
    <w:p w14:paraId="54F20788">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4.事业收入655.72万元，为事业单位开展业务活动取得的收入。较2024年度决算数增加77.82万元，增长13.47%，主要原因是本年度科研项目收入增加。</w:t>
      </w:r>
    </w:p>
    <w:p w14:paraId="56307E0A">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lang w:val="en-US" w:eastAsia="zh-CN"/>
        </w:rPr>
        <w:t>.经营收入0万元，为事业单位在业务活动之外开展非独立核算经营活动取得的收入。较2024年度决算数持平</w:t>
      </w:r>
      <w:r>
        <w:rPr>
          <w:rFonts w:hint="eastAsia" w:ascii="仿宋_GB2312" w:hAnsi="黑体" w:eastAsia="仿宋_GB2312" w:cs="仿宋_GB2312"/>
          <w:kern w:val="0"/>
          <w:sz w:val="32"/>
          <w:szCs w:val="32"/>
          <w:lang w:val="en-US" w:eastAsia="zh-CN"/>
        </w:rPr>
        <w:t>。</w:t>
      </w:r>
    </w:p>
    <w:p w14:paraId="7801E481">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lang w:val="en-US" w:eastAsia="zh-CN"/>
        </w:rPr>
        <w:t>.其他收入0.52万元，为预算单位在“财政拨款收入”“事业收入”“经营收入”之外取得的收入。较2024年度决算数减少24.40万元，下降97.91%，主要原因是上年度产生租金收入，本年度无租金收入</w:t>
      </w:r>
      <w:r>
        <w:rPr>
          <w:rFonts w:hint="eastAsia" w:ascii="仿宋_GB2312" w:hAnsi="黑体" w:eastAsia="仿宋_GB2312" w:cs="仿宋_GB2312"/>
          <w:kern w:val="0"/>
          <w:sz w:val="32"/>
          <w:szCs w:val="32"/>
          <w:lang w:val="en-US" w:eastAsia="zh-CN"/>
        </w:rPr>
        <w:t>。</w:t>
      </w:r>
    </w:p>
    <w:p w14:paraId="7E15F302">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7</w:t>
      </w:r>
      <w:r>
        <w:rPr>
          <w:rFonts w:hint="eastAsia" w:ascii="仿宋_GB2312" w:eastAsia="仿宋_GB2312" w:cs="仿宋_GB2312"/>
          <w:kern w:val="0"/>
          <w:sz w:val="32"/>
          <w:szCs w:val="32"/>
          <w:lang w:val="en-US" w:eastAsia="zh-CN"/>
        </w:rPr>
        <w:t>.使用非财政拨款结余（含专用结余）7.24万元，主要是所属事业单位在当年的“财政拨款收入”“事业收入”“经营收入”及“其他收入”不能保证其支出的情况下，使用以前年度积累的非财政拨款结余、专用结余弥补本年度收支缺口的资金。较2024年度决算数减少115.68万元，</w:t>
      </w:r>
      <w:r>
        <w:rPr>
          <w:rFonts w:hint="eastAsia" w:ascii="仿宋_GB2312" w:hAnsi="黑体" w:eastAsia="仿宋_GB2312" w:cs="仿宋_GB2312"/>
          <w:kern w:val="0"/>
          <w:sz w:val="32"/>
          <w:szCs w:val="32"/>
          <w:lang w:val="en-US" w:eastAsia="zh-CN"/>
        </w:rPr>
        <w:t>下降</w:t>
      </w:r>
      <w:r>
        <w:rPr>
          <w:rFonts w:hint="eastAsia" w:ascii="仿宋_GB2312" w:eastAsia="仿宋_GB2312" w:cs="仿宋_GB2312"/>
          <w:kern w:val="0"/>
          <w:sz w:val="32"/>
          <w:szCs w:val="32"/>
          <w:lang w:val="en-US" w:eastAsia="zh-CN"/>
        </w:rPr>
        <w:t>94.11</w:t>
      </w:r>
      <w:r>
        <w:rPr>
          <w:rFonts w:hint="eastAsia" w:ascii="仿宋_GB2312" w:hAnsi="黑体" w:eastAsia="仿宋_GB2312" w:cs="仿宋_GB2312"/>
          <w:kern w:val="0"/>
          <w:sz w:val="32"/>
          <w:szCs w:val="32"/>
          <w:lang w:val="en-US" w:eastAsia="zh-CN"/>
        </w:rPr>
        <w:t>%</w:t>
      </w:r>
      <w:r>
        <w:rPr>
          <w:rFonts w:hint="eastAsia" w:ascii="仿宋_GB2312" w:eastAsia="仿宋_GB2312" w:cs="仿宋_GB2312"/>
          <w:kern w:val="0"/>
          <w:sz w:val="32"/>
          <w:szCs w:val="32"/>
          <w:lang w:val="en-US" w:eastAsia="zh-CN"/>
        </w:rPr>
        <w:t>，主要原因是本年度非财政拨款收支缺口减小。</w:t>
      </w:r>
    </w:p>
    <w:p w14:paraId="216543F3">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8</w:t>
      </w:r>
      <w:r>
        <w:rPr>
          <w:rFonts w:hint="eastAsia" w:ascii="仿宋_GB2312" w:eastAsia="仿宋_GB2312" w:cs="仿宋_GB2312"/>
          <w:kern w:val="0"/>
          <w:sz w:val="32"/>
          <w:szCs w:val="32"/>
          <w:lang w:val="en-US" w:eastAsia="zh-CN"/>
        </w:rPr>
        <w:t>.上年结转和结余0万元，为以前年度支出预算因客观条件变化未执行完毕、结转到本年度按有关规定继续使用的资金。</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w:t>
      </w:r>
      <w:r>
        <w:rPr>
          <w:rFonts w:hint="eastAsia" w:ascii="仿宋_GB2312" w:hAnsi="黑体" w:eastAsia="仿宋_GB2312" w:cs="仿宋_GB2312"/>
          <w:kern w:val="0"/>
          <w:sz w:val="32"/>
          <w:szCs w:val="32"/>
          <w:u w:val="none"/>
          <w:lang w:val="en-US" w:eastAsia="zh-CN"/>
        </w:rPr>
        <w:t>4</w:t>
      </w:r>
      <w:r>
        <w:rPr>
          <w:rFonts w:hint="eastAsia" w:ascii="仿宋_GB2312" w:hAnsi="黑体" w:eastAsia="仿宋_GB2312" w:cs="仿宋_GB2312"/>
          <w:kern w:val="0"/>
          <w:sz w:val="32"/>
          <w:szCs w:val="32"/>
          <w:u w:val="none"/>
        </w:rPr>
        <w:t>年度决算数</w:t>
      </w:r>
      <w:r>
        <w:rPr>
          <w:rFonts w:hint="eastAsia" w:ascii="仿宋_GB2312" w:eastAsia="仿宋_GB2312" w:cs="仿宋_GB2312"/>
          <w:kern w:val="0"/>
          <w:sz w:val="32"/>
          <w:szCs w:val="32"/>
          <w:lang w:val="en-US" w:eastAsia="zh-CN"/>
        </w:rPr>
        <w:t>减少1.14万元，</w:t>
      </w:r>
      <w:r>
        <w:rPr>
          <w:rFonts w:hint="eastAsia" w:ascii="仿宋_GB2312" w:hAnsi="黑体" w:eastAsia="仿宋_GB2312" w:cs="仿宋_GB2312"/>
          <w:kern w:val="0"/>
          <w:sz w:val="32"/>
          <w:szCs w:val="32"/>
          <w:lang w:val="en-US" w:eastAsia="zh-CN"/>
        </w:rPr>
        <w:t>下降</w:t>
      </w:r>
      <w:r>
        <w:rPr>
          <w:rFonts w:hint="eastAsia" w:ascii="仿宋_GB2312" w:eastAsia="仿宋_GB2312" w:cs="仿宋_GB2312"/>
          <w:kern w:val="0"/>
          <w:sz w:val="32"/>
          <w:szCs w:val="32"/>
          <w:lang w:val="en-US" w:eastAsia="zh-CN"/>
        </w:rPr>
        <w:t>100</w:t>
      </w:r>
      <w:r>
        <w:rPr>
          <w:rFonts w:hint="eastAsia" w:ascii="仿宋_GB2312" w:hAnsi="黑体" w:eastAsia="仿宋_GB2312" w:cs="仿宋_GB2312"/>
          <w:kern w:val="0"/>
          <w:sz w:val="32"/>
          <w:szCs w:val="32"/>
          <w:lang w:val="en-US" w:eastAsia="zh-CN"/>
        </w:rPr>
        <w:t>%</w:t>
      </w:r>
      <w:r>
        <w:rPr>
          <w:rFonts w:hint="eastAsia" w:ascii="仿宋_GB2312" w:eastAsia="仿宋_GB2312" w:cs="仿宋_GB2312"/>
          <w:kern w:val="0"/>
          <w:sz w:val="32"/>
          <w:szCs w:val="32"/>
          <w:lang w:val="en-US" w:eastAsia="zh-CN"/>
        </w:rPr>
        <w:t>，</w:t>
      </w:r>
      <w:r>
        <w:rPr>
          <w:rFonts w:hint="eastAsia" w:ascii="仿宋_GB2312" w:hAnsi="黑体" w:eastAsia="仿宋_GB2312" w:cs="仿宋_GB2312"/>
          <w:kern w:val="0"/>
          <w:sz w:val="32"/>
          <w:szCs w:val="32"/>
          <w:highlight w:val="none"/>
          <w:u w:val="none"/>
        </w:rPr>
        <w:t>主要原因是</w:t>
      </w:r>
      <w:r>
        <w:rPr>
          <w:rFonts w:hint="eastAsia" w:ascii="仿宋_GB2312" w:hAnsi="黑体" w:eastAsia="仿宋_GB2312" w:cs="仿宋_GB2312"/>
          <w:kern w:val="0"/>
          <w:sz w:val="32"/>
          <w:szCs w:val="32"/>
          <w:highlight w:val="none"/>
          <w:u w:val="none"/>
          <w:lang w:eastAsia="zh-CN"/>
        </w:rPr>
        <w:t>上</w:t>
      </w:r>
      <w:r>
        <w:rPr>
          <w:rFonts w:hint="eastAsia" w:ascii="仿宋_GB2312" w:eastAsia="仿宋_GB2312" w:cs="仿宋_GB2312"/>
          <w:kern w:val="0"/>
          <w:sz w:val="32"/>
          <w:szCs w:val="32"/>
          <w:u w:val="none"/>
        </w:rPr>
        <w:t>年度根据工作安排需要</w:t>
      </w:r>
      <w:r>
        <w:rPr>
          <w:rFonts w:hint="eastAsia" w:ascii="仿宋_GB2312" w:eastAsia="仿宋_GB2312" w:cs="仿宋_GB2312"/>
          <w:kern w:val="0"/>
          <w:sz w:val="32"/>
          <w:szCs w:val="32"/>
          <w:u w:val="none"/>
          <w:lang w:eastAsia="zh-CN"/>
        </w:rPr>
        <w:t>本</w:t>
      </w:r>
      <w:r>
        <w:rPr>
          <w:rFonts w:hint="eastAsia" w:ascii="仿宋_GB2312" w:eastAsia="仿宋_GB2312" w:cs="仿宋_GB2312"/>
          <w:kern w:val="0"/>
          <w:sz w:val="32"/>
          <w:szCs w:val="32"/>
          <w:u w:val="none"/>
        </w:rPr>
        <w:t>年度继续使用</w:t>
      </w:r>
      <w:r>
        <w:rPr>
          <w:rFonts w:hint="eastAsia" w:ascii="仿宋_GB2312" w:eastAsia="仿宋_GB2312" w:cs="仿宋_GB2312"/>
          <w:kern w:val="0"/>
          <w:sz w:val="32"/>
          <w:szCs w:val="32"/>
          <w:u w:val="none"/>
          <w:lang w:eastAsia="zh-CN"/>
        </w:rPr>
        <w:t>的</w:t>
      </w:r>
      <w:r>
        <w:rPr>
          <w:rFonts w:hint="eastAsia" w:ascii="仿宋_GB2312" w:eastAsia="仿宋_GB2312" w:cs="仿宋_GB2312"/>
          <w:kern w:val="0"/>
          <w:sz w:val="32"/>
          <w:szCs w:val="32"/>
          <w:u w:val="none"/>
        </w:rPr>
        <w:t>资金</w:t>
      </w:r>
      <w:r>
        <w:rPr>
          <w:rFonts w:hint="eastAsia" w:ascii="仿宋_GB2312" w:eastAsia="仿宋_GB2312" w:cs="仿宋_GB2312"/>
          <w:kern w:val="0"/>
          <w:sz w:val="32"/>
          <w:szCs w:val="32"/>
          <w:u w:val="none"/>
          <w:lang w:eastAsia="zh-CN"/>
        </w:rPr>
        <w:t>减少</w:t>
      </w:r>
      <w:r>
        <w:rPr>
          <w:rFonts w:hint="eastAsia" w:ascii="仿宋_GB2312" w:hAnsi="黑体" w:eastAsia="仿宋_GB2312" w:cs="仿宋_GB2312"/>
          <w:kern w:val="0"/>
          <w:sz w:val="32"/>
          <w:szCs w:val="32"/>
          <w:highlight w:val="none"/>
          <w:u w:val="none"/>
          <w:lang w:eastAsia="zh-CN"/>
        </w:rPr>
        <w:t>。</w:t>
      </w:r>
    </w:p>
    <w:p w14:paraId="2B18AFBF">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（二）本单位2025年度总支出3,852.37万元，其中本年支出3,739.91万元，较2024年度决算数增加55.83万元，增长1.52%。支出具体情况如下：</w:t>
      </w:r>
    </w:p>
    <w:p w14:paraId="06F61D65">
      <w:pPr>
        <w:autoSpaceDE w:val="0"/>
        <w:autoSpaceDN w:val="0"/>
        <w:adjustRightInd w:val="0"/>
        <w:spacing w:line="560" w:lineRule="exact"/>
        <w:ind w:firstLine="627" w:firstLineChars="196"/>
        <w:jc w:val="both"/>
        <w:rPr>
          <w:rFonts w:hint="eastAsia" w:ascii="仿宋_GB2312" w:eastAsia="仿宋_GB2312"/>
          <w:bCs/>
          <w:kern w:val="0"/>
          <w:sz w:val="32"/>
          <w:szCs w:val="32"/>
          <w:highlight w:val="red"/>
          <w:lang w:val="en-US" w:eastAsia="zh-CN"/>
        </w:rPr>
      </w:pPr>
      <w:r>
        <w:rPr>
          <w:rFonts w:hint="eastAsia" w:ascii="仿宋_GB2312" w:eastAsia="仿宋_GB2312"/>
          <w:bCs/>
          <w:kern w:val="0"/>
          <w:sz w:val="32"/>
          <w:szCs w:val="32"/>
          <w:lang w:val="en-US" w:eastAsia="zh-CN"/>
        </w:rPr>
        <w:t>1.科学技术支出（类）2,802.39万元：主要用于支付人员经费及社会保险费用、物业管理费、党建工会团委妇委会活动经费、残疾人就业保障金、科研项目经费等。较2024年度决算数增加53.60万元，增长1.95%，</w:t>
      </w:r>
      <w:r>
        <w:rPr>
          <w:rFonts w:hint="eastAsia" w:ascii="仿宋_GB2312" w:eastAsia="仿宋_GB2312"/>
          <w:bCs/>
          <w:kern w:val="0"/>
          <w:sz w:val="32"/>
          <w:szCs w:val="32"/>
          <w:highlight w:val="none"/>
          <w:lang w:val="en-US" w:eastAsia="zh-CN"/>
        </w:rPr>
        <w:t>主要原因是公务用车购置费及残疾人就业保障金支出增加。</w:t>
      </w:r>
    </w:p>
    <w:p w14:paraId="0FF9340E">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2.社会保障和就业支出（类）607.71万元：主要用于抚恤金、职工养老保险、职工职业年金、离退休人员相关支出等。较2024年度决算数增加8.70万元，增长1.45%，主要原因是抚恤金支出增加。</w:t>
      </w:r>
    </w:p>
    <w:p w14:paraId="59B51873">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3.卫生健康支出（类）112.54万元：主要用于支付职工基本医疗保险。较2024年度决算数增加1.35万元，增长1.21%，主要原因是基本医疗保险缴费基数变动。</w:t>
      </w:r>
    </w:p>
    <w:p w14:paraId="2E854350">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4.农林水支出（类）34.39万元：主要用于农业基础设施建设与维护。较2024年度决算数减少8.09万元，下降19.04%，主要原因是农业基础设施建设与维护支出减少。</w:t>
      </w:r>
    </w:p>
    <w:p w14:paraId="07FA94AC">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5.住房保障支出（类）182.87万元：主要用于支付职工住房公积金。较2024年度决算数增加0.25万元，增长0.14%，主要原因是住房公积金缴费基数变动。</w:t>
      </w:r>
    </w:p>
    <w:p w14:paraId="4297E6A6">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6.结余分配112.46万元，为事业单位按规定提取的专用结余、缴纳所得税和转入非财政拨款结余等。较2024年度决算数增加98.38万元，增长698.72%，主要原因是科研项目收入增加，结余增加。</w:t>
      </w:r>
    </w:p>
    <w:p w14:paraId="37D204DA">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7.年末结转和结余0万元，为本年度或以前年度预算安排、因客观条件发生变化无法按原计划实施，需要延迟到以后年度按有关规定继续使用的资金。较2024年度决算数持平。</w:t>
      </w:r>
    </w:p>
    <w:p w14:paraId="07517ABF">
      <w:pPr>
        <w:autoSpaceDE w:val="0"/>
        <w:autoSpaceDN w:val="0"/>
        <w:adjustRightInd w:val="0"/>
        <w:spacing w:line="560" w:lineRule="exact"/>
        <w:ind w:firstLine="640" w:firstLineChars="200"/>
        <w:jc w:val="both"/>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二、</w:t>
      </w:r>
      <w:r>
        <w:rPr>
          <w:rFonts w:hint="eastAsia" w:ascii="黑体" w:hAnsi="黑体" w:eastAsia="黑体"/>
          <w:kern w:val="0"/>
          <w:sz w:val="32"/>
          <w:szCs w:val="32"/>
          <w:lang w:val="en-US" w:eastAsia="zh-CN"/>
        </w:rPr>
        <w:t>2025</w:t>
      </w:r>
      <w:r>
        <w:rPr>
          <w:rFonts w:hint="eastAsia" w:ascii="黑体" w:hAnsi="黑体" w:eastAsia="黑体" w:cs="仿宋_GB2312"/>
          <w:kern w:val="0"/>
          <w:sz w:val="32"/>
          <w:szCs w:val="32"/>
          <w:lang w:val="en-US" w:eastAsia="zh-CN"/>
        </w:rPr>
        <w:t>年度</w:t>
      </w:r>
      <w:r>
        <w:rPr>
          <w:rFonts w:hint="eastAsia" w:ascii="黑体" w:hAnsi="黑体" w:eastAsia="黑体"/>
          <w:sz w:val="32"/>
          <w:szCs w:val="32"/>
          <w:lang w:val="en-US" w:eastAsia="zh-CN"/>
        </w:rPr>
        <w:t>一般</w:t>
      </w:r>
      <w:r>
        <w:rPr>
          <w:rFonts w:hint="eastAsia" w:ascii="黑体" w:hAnsi="黑体" w:eastAsia="黑体" w:cs="仿宋_GB2312"/>
          <w:kern w:val="0"/>
          <w:sz w:val="32"/>
          <w:szCs w:val="32"/>
          <w:lang w:val="en-US" w:eastAsia="zh-CN"/>
        </w:rPr>
        <w:t>公共预算财政拨款支出决算情况</w:t>
      </w:r>
    </w:p>
    <w:p w14:paraId="62C4EF50">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广西壮族自治区兽医研究所2025年度一般公共预算财政拨款支出3,188.89万元，较2024年度决算数增加216.46万元，增长7.28%。其中：基本支出2,807.44万元，项目支出381.45万元。</w:t>
      </w:r>
    </w:p>
    <w:p w14:paraId="6B445313">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广西壮族自治区兽医研究所2025年度一般公共预算财政拨款支出年初预算数为2,894.77万元，支出决算数为3,188.89万元，完成年初预算的110.16%。</w:t>
      </w:r>
    </w:p>
    <w:p w14:paraId="13969FED">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（一）科学技术支出（类）年初预算数为2,063.69万元，支出决算数为2,258.30万元，完成年初预算的109.43%。预决算差异主要原因是人员经费增加。主要用于机构运行和社会公益研究等方面的支出。具体如下：</w:t>
      </w:r>
    </w:p>
    <w:p w14:paraId="523D2C48">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应用研究（款）机构运行（项）年初预算数为1,896.33万元，支出决算数为2,040.94万元，主要用于支付人员经费及公用经费等机构运行支出。完成年初预算的107.63%。预决算差异主要原因是人员经费增加。</w:t>
      </w:r>
    </w:p>
    <w:p w14:paraId="7450E82A">
      <w:pPr>
        <w:autoSpaceDE w:val="0"/>
        <w:autoSpaceDN w:val="0"/>
        <w:adjustRightInd w:val="0"/>
        <w:spacing w:line="560" w:lineRule="exact"/>
        <w:ind w:firstLine="640" w:firstLineChars="200"/>
        <w:jc w:val="both"/>
        <w:rPr>
          <w:rFonts w:hint="eastAsia" w:ascii="仿宋_GB2312" w:hAnsi="黑体" w:eastAsia="仿宋_GB2312"/>
          <w:bCs/>
          <w:color w:val="FF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应用研究（款）社会公益研究（项）年初预算数为0万元，支出决算数为50.00万元，主要用于国家现代农业产业技术体系广西创新团队建设专项资金支出。</w:t>
      </w:r>
      <w:r>
        <w:rPr>
          <w:rFonts w:hint="eastAsia" w:ascii="仿宋_GB2312" w:hAnsi="黑体" w:eastAsia="仿宋_GB2312"/>
          <w:bCs/>
          <w:color w:val="000000" w:themeColor="text1"/>
          <w:sz w:val="32"/>
          <w:szCs w:val="32"/>
          <w:highlight w:val="none"/>
          <w:u w:val="none"/>
          <w:lang w:val="en-US" w:eastAsia="zh-CN"/>
          <w14:textFill>
            <w14:solidFill>
              <w14:schemeClr w14:val="tx1"/>
            </w14:solidFill>
          </w14:textFill>
        </w:rPr>
        <w:t>预决算差异主要原因是该项资金来源为年中追加资金。</w:t>
      </w:r>
    </w:p>
    <w:p w14:paraId="4FCDC7A8">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应用研究（款）其他应用研究支出（项）年初预算数为167.36万元，支出决算数为167.36万元，主要用于科研项目支出。完成年初预算的100%。</w:t>
      </w:r>
    </w:p>
    <w:p w14:paraId="3B6345F6">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二）社会保障和就业支出（类）年初预算数为519.09万元，支出决算数为607.71万元，完成年初预算的117.07%。预决算差异主要原因是抚恤金支出增加（死亡抚恤为年中追加项目）。主要用于事业单位离退休、机关事业单位基本养老保险缴费、职业年金缴费及死亡抚恤等支出。具体如下：</w:t>
      </w:r>
    </w:p>
    <w:p w14:paraId="78CEEE6C">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行政事业单位养老支出（款）事业单位离退休（项）年初预算数为167.13万元，支出决算数为167.11万元，主要用于离退休人员经费支出。完成年初预算的99.99%。</w:t>
      </w:r>
    </w:p>
    <w:p w14:paraId="17578E90">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行政事业单位养老支出（款）机关事业单位基本养老保险缴费支出（项）年初预算数为234.64万元，支出决算数为243.35万元，主要用于单位缴纳的基本养老保险费支出。完成年初预算的103.71%。预决算差异主要原因是基本养老保险缴费基数变动。</w:t>
      </w:r>
    </w:p>
    <w:p w14:paraId="49024014">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行政事业单位养老支出（款）机关事业单位职业年金缴费支出（项）年初预算数为117.32万元，支出决算数为121.67万元，主要用于单位实际缴纳的职业年金支出。完成年初预算的103.71%。预决算差异主要原因是职业年金缴费基数变动。</w:t>
      </w:r>
    </w:p>
    <w:p w14:paraId="61033028">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抚恤（款）死亡抚恤（项）年初预算数为0万元，支出决算数为75.59万元，主要用于按规定用于烈士和牺牲、病故人员家属的一次性和定期抚恤金、丧葬补助费等。预决算差异主要原因是死亡抚恤金为年中根据实际发生情况追加。</w:t>
      </w:r>
    </w:p>
    <w:p w14:paraId="583CB8A5">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（三）卫生健康支出（类）年初预算数为108.52万元，支出决算数为112.54万元，完成年初预算的103.70%。预决算差异主要原因是医疗保险缴费基数变动。主要用于事业单位医疗支出。具体如下：</w:t>
      </w:r>
    </w:p>
    <w:p w14:paraId="509DB477">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行政事业单位医疗（款）事业单位医疗（项）年初预算数为108.52万元，支出决算数为112.54万元，主要用于财政部门安排的事业单位基本医疗保险缴费经费。完成年初预算的103.70%。预决算差异主要原因是医疗保险缴费基数变动。</w:t>
      </w:r>
    </w:p>
    <w:p w14:paraId="2EE92639">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（四）农林水支出（类）年初预算数为27.48万元，支出决算数为27.47万元，完成年初预算的99.96%。预决算差异主要原因是项目支出略有节约。主要用于其他农业农村支出。具体如下：</w:t>
      </w:r>
    </w:p>
    <w:p w14:paraId="04F18400">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农业农村（款）其他农业农村支出（项）年初预算数为27.48万元，支出决算数为27.47万元，主要用于农业基础设施建设与维护。完成年初预算的99.96%。预决算差异主要原因是项目支出略有节约。</w:t>
      </w:r>
    </w:p>
    <w:p w14:paraId="5E791A2C">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none"/>
          <w:u w:val="none"/>
          <w:lang w:val="en-US" w:eastAsia="zh-CN"/>
        </w:rPr>
      </w:pPr>
      <w:r>
        <w:rPr>
          <w:rFonts w:hint="eastAsia" w:ascii="仿宋_GB2312" w:hAnsi="黑体" w:eastAsia="仿宋_GB2312"/>
          <w:bCs/>
          <w:color w:val="000000"/>
          <w:sz w:val="32"/>
          <w:szCs w:val="32"/>
          <w:highlight w:val="none"/>
          <w:u w:val="none"/>
          <w:lang w:val="en-US" w:eastAsia="zh-CN"/>
        </w:rPr>
        <w:t>（五）住房保障支出（类）年初预算数为175.98万元，支出决算数为182.87万元，完成年初预算的103.91%。预决算差异主要原因是住房公积金缴费基数变动。主要用于住房公积金支出。具体如下：</w:t>
      </w:r>
    </w:p>
    <w:p w14:paraId="24256937">
      <w:pPr>
        <w:autoSpaceDE w:val="0"/>
        <w:autoSpaceDN w:val="0"/>
        <w:adjustRightInd w:val="0"/>
        <w:spacing w:line="560" w:lineRule="exact"/>
        <w:ind w:firstLine="640" w:firstLineChars="200"/>
        <w:jc w:val="both"/>
        <w:rPr>
          <w:rFonts w:hint="eastAsia" w:ascii="仿宋_GB2312" w:hAnsi="黑体" w:eastAsia="仿宋_GB2312"/>
          <w:bCs/>
          <w:color w:val="000000"/>
          <w:sz w:val="32"/>
          <w:szCs w:val="32"/>
          <w:highlight w:val="yellow"/>
          <w:u w:val="none"/>
          <w:lang w:val="en-US" w:eastAsia="zh-CN"/>
        </w:rPr>
      </w:pPr>
      <w:r>
        <w:rPr>
          <w:rFonts w:hint="eastAsia" w:ascii="仿宋_GB2312" w:hAnsi="黑体" w:eastAsia="仿宋_GB2312"/>
          <w:bCs/>
          <w:color w:val="000000"/>
          <w:sz w:val="32"/>
          <w:szCs w:val="32"/>
          <w:highlight w:val="none"/>
          <w:u w:val="none"/>
          <w:lang w:val="en-US" w:eastAsia="zh-CN"/>
        </w:rPr>
        <w:t>住房改革支出（款）住房公积金（项）年初预算数为175.98万元，支出决算数为182.87万元，主要用于为职工缴纳的住房公积金。完成年初预算的103.91%。预决算差异主要原因是住房公积金缴费基数变动。</w:t>
      </w:r>
    </w:p>
    <w:p w14:paraId="41A938ED">
      <w:pPr>
        <w:autoSpaceDE w:val="0"/>
        <w:autoSpaceDN w:val="0"/>
        <w:adjustRightInd w:val="0"/>
        <w:spacing w:line="560" w:lineRule="exact"/>
        <w:ind w:firstLine="640" w:firstLineChars="200"/>
        <w:jc w:val="both"/>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三、2025年度一般公共预算财政拨款基本支出决算情况说明</w:t>
      </w:r>
    </w:p>
    <w:p w14:paraId="2A85043D">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2025年度一般公共预算财政拨款基本支出2,807.44万元，支出具体情况如下：</w:t>
      </w:r>
    </w:p>
    <w:p w14:paraId="055D5813">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一）工资福利支出2,309.47万元，完成年初预算的108.06%。预决算差异主要原因是人员经费增加。主要包括：基本工资604.31万元、津贴补贴49.13万元、奖金6.15万元、绩效工资978.81万元、机关事业单位基本养老保险缴费243.35万元、职业年金缴费121.67万元、职工基本医疗保险缴费112.54万元、其他社会保障缴费10.65万元、住房公积金182.87万元。</w:t>
      </w:r>
    </w:p>
    <w:p w14:paraId="249A8178">
      <w:pPr>
        <w:autoSpaceDE w:val="0"/>
        <w:autoSpaceDN w:val="0"/>
        <w:adjustRightInd w:val="0"/>
        <w:spacing w:line="560" w:lineRule="exact"/>
        <w:ind w:firstLine="627" w:firstLineChars="196"/>
        <w:jc w:val="both"/>
        <w:rPr>
          <w:rFonts w:hint="eastAsia" w:ascii="仿宋_GB2312" w:eastAsia="仿宋_GB2312"/>
          <w:bCs/>
          <w:kern w:val="0"/>
          <w:sz w:val="32"/>
          <w:szCs w:val="32"/>
          <w:lang w:val="en-US" w:eastAsia="zh-CN"/>
        </w:rPr>
      </w:pPr>
      <w:r>
        <w:rPr>
          <w:rFonts w:hint="eastAsia" w:ascii="仿宋_GB2312" w:eastAsia="仿宋_GB2312"/>
          <w:bCs/>
          <w:kern w:val="0"/>
          <w:sz w:val="32"/>
          <w:szCs w:val="32"/>
          <w:lang w:val="en-US" w:eastAsia="zh-CN"/>
        </w:rPr>
        <w:t>（二）商品和服务支出194.32万元，完成年初预算的100.27%。预决算差异主要原因是差旅费及维修（护）费支出增加。主要包括：办公费9.36万元、水费1.00万元、电费7.00万元、邮电费14.57万元、差旅费27.12万元、维修（护）费14.22万元、会议费9.13万元、培训费2.59万元、公务接待费0.27万元、劳务费5.36万元、工会经费29.33万元、福利费4.00万元、公务用车运行维护费9.72万元、其他商品和服务支出60.63万元。</w:t>
      </w:r>
    </w:p>
    <w:p w14:paraId="73A10CED">
      <w:pPr>
        <w:autoSpaceDE w:val="0"/>
        <w:autoSpaceDN w:val="0"/>
        <w:adjustRightInd w:val="0"/>
        <w:spacing w:line="560" w:lineRule="exact"/>
        <w:ind w:firstLine="627" w:firstLineChars="196"/>
        <w:jc w:val="both"/>
        <w:rPr>
          <w:rFonts w:hint="eastAsia"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（三）对个人和家庭的补助303.66万元，完成年初预算的133.15%。预决算差异主要原因是抚恤金支出增加。主要包括：退休费154.74万元、抚恤金75.59万元、其他对个人和家庭的补助73.33万元。</w:t>
      </w:r>
    </w:p>
    <w:p w14:paraId="01074B7A">
      <w:pPr>
        <w:autoSpaceDE w:val="0"/>
        <w:autoSpaceDN w:val="0"/>
        <w:adjustRightInd w:val="0"/>
        <w:spacing w:line="560" w:lineRule="exact"/>
        <w:ind w:firstLine="640" w:firstLineChars="200"/>
        <w:jc w:val="both"/>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四、2025年度政府性基金支出决算情况</w:t>
      </w:r>
    </w:p>
    <w:p w14:paraId="148E6890">
      <w:pPr>
        <w:autoSpaceDE w:val="0"/>
        <w:autoSpaceDN w:val="0"/>
        <w:adjustRightInd w:val="0"/>
        <w:spacing w:line="560" w:lineRule="exact"/>
        <w:ind w:firstLine="640" w:firstLineChars="200"/>
        <w:jc w:val="both"/>
        <w:rPr>
          <w:rFonts w:hint="eastAsia" w:ascii="仿宋_GB2312" w:eastAsia="仿宋_GB2312" w:cs="仿宋_GB2312"/>
          <w:kern w:val="0"/>
          <w:sz w:val="32"/>
          <w:szCs w:val="32"/>
          <w:u w:val="none"/>
          <w:lang w:val="en-US" w:eastAsia="zh-CN"/>
        </w:rPr>
      </w:pPr>
      <w:r>
        <w:rPr>
          <w:rFonts w:hint="eastAsia" w:ascii="仿宋_GB2312" w:eastAsia="仿宋_GB2312" w:cs="仿宋_GB2312"/>
          <w:kern w:val="0"/>
          <w:sz w:val="32"/>
          <w:szCs w:val="32"/>
          <w:u w:val="none"/>
          <w:lang w:val="en-US" w:eastAsia="zh-CN"/>
        </w:rPr>
        <w:t>广西壮族自治区兽医研究所2025年度无政府性基金预算财政拨款安排的支出。</w:t>
      </w:r>
    </w:p>
    <w:p w14:paraId="3023154D">
      <w:pPr>
        <w:autoSpaceDE w:val="0"/>
        <w:autoSpaceDN w:val="0"/>
        <w:adjustRightInd w:val="0"/>
        <w:spacing w:line="560" w:lineRule="exact"/>
        <w:ind w:firstLine="640" w:firstLineChars="200"/>
        <w:jc w:val="both"/>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五、2025年度国有资本经营预算支出决算情况</w:t>
      </w:r>
    </w:p>
    <w:p w14:paraId="396A29FC">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kern w:val="0"/>
          <w:sz w:val="32"/>
          <w:szCs w:val="32"/>
          <w:lang w:val="en-US" w:eastAsia="zh-CN"/>
        </w:rPr>
        <w:t>广西壮族自治区兽医研究所2025年度无国有资本经营预算财政拨款安排的支出。</w:t>
      </w:r>
    </w:p>
    <w:p w14:paraId="32F2D0D8">
      <w:pPr>
        <w:autoSpaceDE w:val="0"/>
        <w:autoSpaceDN w:val="0"/>
        <w:adjustRightInd w:val="0"/>
        <w:spacing w:line="560" w:lineRule="exact"/>
        <w:ind w:firstLine="640" w:firstLineChars="200"/>
        <w:jc w:val="both"/>
        <w:rPr>
          <w:rFonts w:hint="default" w:ascii="仿宋_GB2312" w:eastAsia="仿宋_GB2312" w:cs="仿宋_GB2312"/>
          <w:b/>
          <w:bCs/>
          <w:kern w:val="0"/>
          <w:sz w:val="32"/>
          <w:szCs w:val="32"/>
          <w:lang w:val="en-US" w:eastAsia="zh-CN"/>
        </w:rPr>
      </w:pPr>
      <w:r>
        <w:rPr>
          <w:rFonts w:hint="eastAsia" w:ascii="黑体" w:hAnsi="黑体" w:eastAsia="黑体" w:cs="仿宋_GB2312"/>
          <w:kern w:val="0"/>
          <w:sz w:val="32"/>
          <w:szCs w:val="32"/>
          <w:lang w:val="en-US" w:eastAsia="zh-CN"/>
        </w:rPr>
        <w:t>六、财政拨款安排的“三公”经费支出决算情况说明</w:t>
      </w:r>
    </w:p>
    <w:p w14:paraId="33188A1E">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2025年度财政拨款安排的“三公”经费支出34.98万元，完成年初预算的88.95%，比上年增加29.87万元，主要原因是本年度新购置公务车1辆，上年度无公务车购置。其中：因公出国（境）费支出决算0万元，公务用车购置及运行费支出决算34.72万元，公务接待费支出决算0.27万元。</w:t>
      </w:r>
    </w:p>
    <w:p w14:paraId="247EBEB5">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具体情况如下：</w:t>
      </w:r>
    </w:p>
    <w:p w14:paraId="64610046">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一）因公出国（境）费支出0万元，与上年持平，原因是本年度未安排因公出国（境）任务。全年使用财政拨款安排广西壮族自治区兽医研究所出国团组0个，参加其他单位组织的出国团组0个，全年因公出国（境）团组共计0个，累计0人次。</w:t>
      </w:r>
    </w:p>
    <w:p w14:paraId="46A02908">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（二）公务用车购置及运行费支出34.72万元。其中：</w:t>
      </w:r>
    </w:p>
    <w:p w14:paraId="19280A74">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公务用车购置支出24.99万元，完成年初预算的89.25%，比上年增加24.99万元，原因是本年度新购置公务车1辆，上年度无公务车购置。购置了1辆公务用车，主要用于机要通信及业务保障。</w:t>
      </w:r>
    </w:p>
    <w:p w14:paraId="51EF9309">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公务用车运行支出9.72万元，完成年初预算的96.05%，比上年增加5.20万元，原因是本年度公务用车加油费及高速ETC费用增加。主要用于机要文件交换、市内因公出行以及开展业务所需车辆燃料费、维修费、过路过桥费、保险费等。2025年，广西壮族自治区兽医研究所开支财政拨款的公务用车保有量为4辆，全年运行费支出9.72万元，平均每辆2.43万元。</w:t>
      </w:r>
    </w:p>
    <w:p w14:paraId="1F2A453F">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三）公务接待费支出0.27万元，完成年初预算的22.31%，比上年减少0.32万元，原因是严格贯彻落实厉行节约反对浪费精神，加强公务接待管理，严格控制相关费用，支出相应减少。国内公务接待批次4次，人次25次，其中：外事接待0批次0人次。主要用于按规定开支的各类公务接待费用。国（境）外公务接待批次0次，人次0次。其中：</w:t>
      </w:r>
    </w:p>
    <w:p w14:paraId="106561C7">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u w:val="none"/>
        </w:rPr>
        <w:t>接待</w:t>
      </w:r>
      <w:r>
        <w:rPr>
          <w:rFonts w:hint="eastAsia" w:ascii="仿宋_GB2312" w:eastAsia="仿宋_GB2312" w:cs="仿宋_GB2312"/>
          <w:kern w:val="0"/>
          <w:sz w:val="32"/>
          <w:szCs w:val="32"/>
          <w:lang w:val="en-US" w:eastAsia="zh-CN"/>
        </w:rPr>
        <w:t>中国科学院亚热带农业生态研究所3人，陪同3人；</w:t>
      </w:r>
    </w:p>
    <w:p w14:paraId="0C3793B5">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u w:val="none"/>
        </w:rPr>
        <w:t>接待</w:t>
      </w:r>
      <w:r>
        <w:rPr>
          <w:rFonts w:hint="eastAsia" w:ascii="仿宋_GB2312" w:eastAsia="仿宋_GB2312" w:cs="仿宋_GB2312"/>
          <w:kern w:val="0"/>
          <w:sz w:val="32"/>
          <w:szCs w:val="32"/>
          <w:lang w:val="en-US" w:eastAsia="zh-CN"/>
        </w:rPr>
        <w:t>浙江省农业科学院畜牧兽医研究所2人，陪同3人；</w:t>
      </w:r>
    </w:p>
    <w:p w14:paraId="2863F99A">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u w:val="none"/>
        </w:rPr>
        <w:t>接待</w:t>
      </w:r>
      <w:r>
        <w:rPr>
          <w:rFonts w:hint="eastAsia" w:ascii="仿宋_GB2312" w:eastAsia="仿宋_GB2312" w:cs="仿宋_GB2312"/>
          <w:kern w:val="0"/>
          <w:sz w:val="32"/>
          <w:szCs w:val="32"/>
          <w:lang w:val="en-US" w:eastAsia="zh-CN"/>
        </w:rPr>
        <w:t>江苏省农业科学院兽医研究所1人，陪同3人；</w:t>
      </w:r>
    </w:p>
    <w:p w14:paraId="1FD87DD7">
      <w:pPr>
        <w:autoSpaceDE w:val="0"/>
        <w:autoSpaceDN w:val="0"/>
        <w:adjustRightInd w:val="0"/>
        <w:spacing w:line="560" w:lineRule="exact"/>
        <w:ind w:firstLine="640" w:firstLineChars="200"/>
        <w:jc w:val="both"/>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u w:val="none"/>
        </w:rPr>
        <w:t>接待</w:t>
      </w:r>
      <w:r>
        <w:rPr>
          <w:rFonts w:hint="eastAsia" w:ascii="仿宋_GB2312" w:eastAsia="仿宋_GB2312" w:cs="仿宋_GB2312"/>
          <w:kern w:val="0"/>
          <w:sz w:val="32"/>
          <w:szCs w:val="32"/>
          <w:lang w:val="en-US" w:eastAsia="zh-CN"/>
        </w:rPr>
        <w:t>广西师范大学7人，陪同3人。</w:t>
      </w:r>
    </w:p>
    <w:p w14:paraId="2623BD20">
      <w:pPr>
        <w:autoSpaceDE w:val="0"/>
        <w:autoSpaceDN w:val="0"/>
        <w:adjustRightInd w:val="0"/>
        <w:spacing w:line="560" w:lineRule="exact"/>
        <w:ind w:firstLine="627" w:firstLineChars="196"/>
        <w:jc w:val="both"/>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七、其他重要事项情况说明</w:t>
      </w:r>
    </w:p>
    <w:p w14:paraId="23941035">
      <w:pPr>
        <w:autoSpaceDE w:val="0"/>
        <w:autoSpaceDN w:val="0"/>
        <w:adjustRightInd w:val="0"/>
        <w:spacing w:line="560" w:lineRule="exact"/>
        <w:ind w:firstLine="640" w:firstLineChars="200"/>
        <w:jc w:val="both"/>
        <w:rPr>
          <w:rFonts w:hint="eastAsia" w:ascii="楷体_GB2312" w:eastAsia="楷体_GB2312" w:cs="仿宋_GB2312"/>
          <w:kern w:val="0"/>
          <w:sz w:val="32"/>
          <w:szCs w:val="32"/>
          <w:lang w:val="en-US" w:eastAsia="zh-CN"/>
        </w:rPr>
      </w:pPr>
      <w:r>
        <w:rPr>
          <w:rFonts w:hint="eastAsia" w:ascii="楷体_GB2312" w:eastAsia="楷体_GB2312" w:cs="仿宋_GB2312"/>
          <w:kern w:val="0"/>
          <w:sz w:val="32"/>
          <w:szCs w:val="32"/>
          <w:lang w:val="en-US" w:eastAsia="zh-CN"/>
        </w:rPr>
        <w:t>（一）机关运行经费支出情况说明</w:t>
      </w:r>
    </w:p>
    <w:p w14:paraId="78C588FA">
      <w:pPr>
        <w:autoSpaceDE w:val="0"/>
        <w:autoSpaceDN w:val="0"/>
        <w:adjustRightInd w:val="0"/>
        <w:spacing w:line="560" w:lineRule="exact"/>
        <w:ind w:firstLine="640" w:firstLineChars="200"/>
        <w:jc w:val="both"/>
        <w:rPr>
          <w:rFonts w:hint="eastAsia" w:ascii="仿宋_GB2312" w:eastAsia="仿宋_GB2312" w:cs="仿宋_GB2312"/>
          <w:b/>
          <w:kern w:val="0"/>
          <w:sz w:val="32"/>
          <w:szCs w:val="32"/>
          <w:lang w:val="en-US" w:eastAsia="zh-CN"/>
        </w:rPr>
      </w:pPr>
      <w:r>
        <w:rPr>
          <w:rFonts w:hint="eastAsia" w:ascii="仿宋_GB2312" w:eastAsia="仿宋_GB2312" w:cs="仿宋_GB2312"/>
          <w:kern w:val="0"/>
          <w:sz w:val="32"/>
          <w:szCs w:val="32"/>
          <w:lang w:val="en-US" w:eastAsia="zh-CN"/>
        </w:rPr>
        <w:t>本单位无机关运行经费支出。本单位2025年度</w:t>
      </w:r>
      <w:r>
        <w:rPr>
          <w:rFonts w:hint="eastAsia" w:ascii="仿宋_GB2312" w:eastAsia="仿宋_GB2312" w:cs="仿宋_GB2312"/>
          <w:kern w:val="0"/>
          <w:sz w:val="32"/>
          <w:szCs w:val="32"/>
          <w:u w:val="none"/>
        </w:rPr>
        <w:t>事业单位运行经费支出</w:t>
      </w:r>
      <w:r>
        <w:rPr>
          <w:rFonts w:hint="eastAsia" w:ascii="仿宋_GB2312" w:eastAsia="仿宋_GB2312" w:cs="仿宋_GB2312"/>
          <w:kern w:val="0"/>
          <w:sz w:val="32"/>
          <w:szCs w:val="32"/>
          <w:lang w:val="en-US" w:eastAsia="zh-CN"/>
        </w:rPr>
        <w:t>194.32万元，比年初预算数193.80万元增加0.52万元，增长0.27%，比上年决算数174.68万元增加19.64万元，增长11.24%。主要原因是：本年度差旅费支出增加8.21万元、公务用车运行维护费支出增加5.20万元，维修（护）费增加3.17万元，会议费增加0.82万元，其他商品和服务支出增加8.66万元。同时，贯彻落实过紧日子要求，办公费、培训费、公务接待费等支出有所压减，但差旅费、公务用车运行维护费、维修（护）费等刚性支出因业务量增加及公务用车购置因素合计增长超过20万元，导致公用经费总体较上年增长11.24%。</w:t>
      </w:r>
    </w:p>
    <w:p w14:paraId="57B96856">
      <w:pPr>
        <w:autoSpaceDE w:val="0"/>
        <w:autoSpaceDN w:val="0"/>
        <w:adjustRightInd w:val="0"/>
        <w:spacing w:line="560" w:lineRule="exact"/>
        <w:ind w:firstLine="640" w:firstLineChars="200"/>
        <w:jc w:val="both"/>
        <w:rPr>
          <w:rFonts w:hint="eastAsia" w:ascii="楷体_GB2312" w:eastAsia="楷体_GB2312" w:cs="仿宋_GB2312"/>
          <w:kern w:val="0"/>
          <w:sz w:val="32"/>
          <w:szCs w:val="32"/>
          <w:lang w:val="en-US" w:eastAsia="zh-CN"/>
        </w:rPr>
      </w:pPr>
      <w:r>
        <w:rPr>
          <w:rFonts w:hint="eastAsia" w:ascii="楷体_GB2312" w:eastAsia="楷体_GB2312" w:cs="仿宋_GB2312"/>
          <w:kern w:val="0"/>
          <w:sz w:val="32"/>
          <w:szCs w:val="32"/>
          <w:lang w:val="en-US" w:eastAsia="zh-CN"/>
        </w:rPr>
        <w:t>（二）政府采购支出情况说明</w:t>
      </w:r>
    </w:p>
    <w:p w14:paraId="24826F1E">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本单位2025年度政府采购支出总额26.32万元，其中：政府采购货物支出19.25万元、政府采购工程支出0万元、政府采购服务支出7.07万元。授予中小企业合同金额20.33万元，占政府采购支出总额的77.24%，其中：授予小微企业合同金额17.70万元，占授予中小企业合同金额的87.06%；货物采购授予中小企业合同金额占货物支出金额的91.94%；</w:t>
      </w:r>
      <w:r>
        <w:rPr>
          <w:rFonts w:hint="eastAsia" w:ascii="仿宋_GB2312" w:hAnsi="Times New Roman" w:eastAsia="仿宋_GB2312" w:cs="仿宋_GB2312"/>
          <w:kern w:val="0"/>
          <w:sz w:val="32"/>
          <w:szCs w:val="32"/>
          <w:highlight w:val="none"/>
          <w:u w:val="none"/>
        </w:rPr>
        <w:t>工程采购授予中小企业合同金额占工程支出金额的</w:t>
      </w:r>
      <w:r>
        <w:rPr>
          <w:rFonts w:hint="eastAsia" w:ascii="仿宋_GB2312" w:eastAsia="仿宋_GB2312" w:cs="仿宋_GB2312"/>
          <w:kern w:val="0"/>
          <w:sz w:val="32"/>
          <w:szCs w:val="32"/>
          <w:u w:val="none"/>
          <w:lang w:val="en-US" w:eastAsia="zh-CN"/>
        </w:rPr>
        <w:t>0</w:t>
      </w:r>
      <w:r>
        <w:rPr>
          <w:rFonts w:hint="eastAsia" w:ascii="仿宋_GB2312" w:hAnsi="Times New Roman" w:eastAsia="仿宋_GB2312" w:cs="仿宋_GB2312"/>
          <w:kern w:val="0"/>
          <w:sz w:val="32"/>
          <w:szCs w:val="32"/>
          <w:highlight w:val="none"/>
          <w:u w:val="none"/>
        </w:rPr>
        <w:t>%</w:t>
      </w:r>
      <w:r>
        <w:rPr>
          <w:rFonts w:hint="eastAsia" w:ascii="仿宋_GB2312" w:eastAsia="仿宋_GB2312" w:cs="仿宋_GB2312"/>
          <w:kern w:val="0"/>
          <w:sz w:val="32"/>
          <w:szCs w:val="32"/>
          <w:lang w:val="en-US" w:eastAsia="zh-CN"/>
        </w:rPr>
        <w:t>；服务采购授予中小企业合同金额占服务支出金额的37.29%。</w:t>
      </w:r>
    </w:p>
    <w:p w14:paraId="7BD9BB5F">
      <w:pPr>
        <w:autoSpaceDE w:val="0"/>
        <w:autoSpaceDN w:val="0"/>
        <w:adjustRightInd w:val="0"/>
        <w:spacing w:line="560" w:lineRule="exact"/>
        <w:ind w:firstLine="640" w:firstLineChars="200"/>
        <w:jc w:val="both"/>
        <w:rPr>
          <w:rFonts w:hint="eastAsia" w:ascii="楷体_GB2312" w:eastAsia="楷体_GB2312" w:cs="仿宋_GB2312"/>
          <w:kern w:val="0"/>
          <w:sz w:val="32"/>
          <w:szCs w:val="32"/>
          <w:lang w:val="en-US" w:eastAsia="zh-CN"/>
        </w:rPr>
      </w:pPr>
      <w:r>
        <w:rPr>
          <w:rFonts w:hint="eastAsia" w:ascii="楷体_GB2312" w:eastAsia="楷体_GB2312" w:cs="仿宋_GB2312"/>
          <w:kern w:val="0"/>
          <w:sz w:val="32"/>
          <w:szCs w:val="32"/>
          <w:lang w:val="en-US" w:eastAsia="zh-CN"/>
        </w:rPr>
        <w:t>（三）国有资产占用情况说明</w:t>
      </w:r>
    </w:p>
    <w:p w14:paraId="0BDE7DC5">
      <w:pPr>
        <w:autoSpaceDE w:val="0"/>
        <w:autoSpaceDN w:val="0"/>
        <w:adjustRightInd w:val="0"/>
        <w:spacing w:line="560" w:lineRule="exact"/>
        <w:ind w:firstLine="640" w:firstLineChars="200"/>
        <w:jc w:val="both"/>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lang w:val="en-US" w:eastAsia="zh-CN"/>
        </w:rPr>
        <w:t>截至2025年12月31日，本单位共有车辆4辆，其中：副部（省）级领导干部用车0辆、机要通信用车0辆、应急保障用车0辆、执法执勤用车0辆、特种专业技术用车0辆、其他用车4辆，其他用车主要是机要通信、业务保障及科研活动用车；单位价值50万元以上通用设备6台（套）；单位价值100万元以上专用设备0台（套）。</w:t>
      </w:r>
    </w:p>
    <w:p w14:paraId="2EA3E562">
      <w:pPr>
        <w:autoSpaceDE w:val="0"/>
        <w:autoSpaceDN w:val="0"/>
        <w:adjustRightInd w:val="0"/>
        <w:spacing w:line="560" w:lineRule="exact"/>
        <w:ind w:firstLine="640" w:firstLineChars="200"/>
        <w:jc w:val="both"/>
        <w:rPr>
          <w:rFonts w:hint="eastAsia" w:ascii="仿宋_GB2312" w:eastAsia="仿宋_GB2312" w:cs="仿宋_GB2312"/>
          <w:caps w:val="0"/>
          <w:color w:val="auto"/>
          <w:kern w:val="0"/>
          <w:sz w:val="32"/>
          <w:szCs w:val="32"/>
          <w:highlight w:val="none"/>
          <w:vertAlign w:val="baseline"/>
          <w:lang w:val="en-US" w:eastAsia="zh-CN" w:bidi="ar"/>
        </w:rPr>
      </w:pPr>
      <w:r>
        <w:rPr>
          <w:rFonts w:hint="eastAsia" w:ascii="黑体" w:hAnsi="黑体" w:eastAsia="黑体" w:cs="黑体"/>
          <w:kern w:val="0"/>
          <w:sz w:val="32"/>
          <w:szCs w:val="32"/>
          <w:highlight w:val="none"/>
          <w:lang w:val="en-US" w:eastAsia="zh-CN"/>
        </w:rPr>
        <w:t>八、预算绩效管理工作开展情况</w:t>
      </w:r>
    </w:p>
    <w:p w14:paraId="5FA24AD8">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0" w:beforeAutospacing="0" w:after="0" w:afterAutospacing="0" w:line="560" w:lineRule="exact"/>
        <w:ind w:left="0" w:leftChars="0" w:right="0" w:firstLine="480" w:firstLineChars="150"/>
        <w:jc w:val="both"/>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项目支出绩效自评结果</w:t>
      </w:r>
      <w:r>
        <w:rPr>
          <w:rFonts w:hint="eastAsia" w:ascii="仿宋_GB2312" w:eastAsia="仿宋_GB2312" w:cs="仿宋_GB2312"/>
          <w:b w:val="0"/>
          <w:bCs w:val="0"/>
          <w:caps w:val="0"/>
          <w:color w:val="auto"/>
          <w:kern w:val="0"/>
          <w:sz w:val="32"/>
          <w:szCs w:val="32"/>
          <w:vertAlign w:val="baseline"/>
          <w:lang w:val="en-US" w:eastAsia="zh-CN" w:bidi="ar"/>
        </w:rPr>
        <w:t>：</w:t>
      </w:r>
    </w:p>
    <w:p w14:paraId="30FEAD78">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0" w:beforeAutospacing="0" w:after="0" w:afterAutospacing="0" w:line="560" w:lineRule="exact"/>
        <w:ind w:left="0" w:leftChars="0" w:right="0" w:firstLine="480" w:firstLineChars="150"/>
        <w:jc w:val="both"/>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eastAsia="仿宋_GB2312" w:cs="仿宋_GB2312"/>
          <w:b w:val="0"/>
          <w:bCs w:val="0"/>
          <w:caps w:val="0"/>
          <w:color w:val="auto"/>
          <w:kern w:val="0"/>
          <w:sz w:val="32"/>
          <w:szCs w:val="32"/>
          <w:vertAlign w:val="baseline"/>
          <w:lang w:val="en-US" w:eastAsia="zh-CN" w:bidi="ar"/>
        </w:rPr>
        <w:t>1.</w:t>
      </w:r>
      <w:r>
        <w:rPr>
          <w:rFonts w:hint="eastAsia" w:ascii="仿宋_GB2312" w:hAnsi="Times New Roman" w:eastAsia="仿宋_GB2312" w:cs="仿宋_GB2312"/>
          <w:b w:val="0"/>
          <w:bCs w:val="0"/>
          <w:caps w:val="0"/>
          <w:color w:val="auto"/>
          <w:kern w:val="0"/>
          <w:sz w:val="32"/>
          <w:szCs w:val="32"/>
          <w:vertAlign w:val="baseline"/>
          <w:lang w:val="en-US" w:eastAsia="zh-CN" w:bidi="ar"/>
        </w:rPr>
        <w:t>项目绩效自评总体情况</w:t>
      </w:r>
    </w:p>
    <w:p w14:paraId="1CA2E5FD">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0" w:beforeAutospacing="0" w:after="0" w:afterAutospacing="0" w:line="560" w:lineRule="exact"/>
        <w:ind w:left="0" w:leftChars="0" w:right="0" w:firstLine="480" w:firstLineChars="150"/>
        <w:jc w:val="both"/>
        <w:outlineLvl w:val="9"/>
        <w:rPr>
          <w:rFonts w:hint="eastAsia" w:ascii="仿宋_GB2312" w:eastAsia="仿宋_GB2312" w:cs="仿宋_GB2312"/>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我单位2025年度项目</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8个，项目支出总额</w:t>
      </w:r>
      <w:r>
        <w:rPr>
          <w:rFonts w:hint="eastAsia" w:ascii="仿宋_GB2312" w:eastAsia="仿宋_GB2312" w:cs="仿宋_GB2312"/>
          <w:b w:val="0"/>
          <w:bCs w:val="0"/>
          <w:caps w:val="0"/>
          <w:color w:val="auto"/>
          <w:kern w:val="0"/>
          <w:sz w:val="32"/>
          <w:szCs w:val="32"/>
          <w:highlight w:val="none"/>
          <w:vertAlign w:val="baseline"/>
          <w:lang w:val="en-US" w:eastAsia="zh-CN" w:bidi="ar"/>
        </w:rPr>
        <w:t>1</w:t>
      </w:r>
      <w:r>
        <w:rPr>
          <w:rFonts w:hint="eastAsia" w:ascii="仿宋_GB2312" w:eastAsia="仿宋_GB2312" w:cs="仿宋_GB2312"/>
          <w:kern w:val="0"/>
          <w:sz w:val="32"/>
          <w:szCs w:val="32"/>
          <w:lang w:val="en-US" w:eastAsia="zh-CN"/>
        </w:rPr>
        <w:t>,</w:t>
      </w:r>
      <w:r>
        <w:rPr>
          <w:rFonts w:hint="eastAsia" w:ascii="仿宋_GB2312" w:eastAsia="仿宋_GB2312" w:cs="仿宋_GB2312"/>
          <w:b w:val="0"/>
          <w:bCs w:val="0"/>
          <w:caps w:val="0"/>
          <w:color w:val="auto"/>
          <w:kern w:val="0"/>
          <w:sz w:val="32"/>
          <w:szCs w:val="32"/>
          <w:highlight w:val="none"/>
          <w:vertAlign w:val="baseline"/>
          <w:lang w:val="en-US" w:eastAsia="zh-CN" w:bidi="ar"/>
        </w:rPr>
        <w:t>057.28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万元（全口径，包含本级财政拨款资金、单位自有资金）。其中，本级项目8个，本级项目支出</w:t>
      </w:r>
      <w:r>
        <w:rPr>
          <w:rFonts w:hint="eastAsia" w:ascii="仿宋_GB2312" w:eastAsia="仿宋_GB2312" w:cs="仿宋_GB2312"/>
          <w:b w:val="0"/>
          <w:bCs w:val="0"/>
          <w:caps w:val="0"/>
          <w:color w:val="auto"/>
          <w:kern w:val="0"/>
          <w:sz w:val="32"/>
          <w:szCs w:val="32"/>
          <w:highlight w:val="none"/>
          <w:vertAlign w:val="baseline"/>
          <w:lang w:val="en-US" w:eastAsia="zh-CN" w:bidi="ar"/>
        </w:rPr>
        <w:t>1</w:t>
      </w:r>
      <w:r>
        <w:rPr>
          <w:rFonts w:hint="eastAsia" w:ascii="仿宋_GB2312" w:eastAsia="仿宋_GB2312" w:cs="仿宋_GB2312"/>
          <w:kern w:val="0"/>
          <w:sz w:val="32"/>
          <w:szCs w:val="32"/>
          <w:lang w:val="en-US" w:eastAsia="zh-CN"/>
        </w:rPr>
        <w:t>,</w:t>
      </w:r>
      <w:r>
        <w:rPr>
          <w:rFonts w:hint="eastAsia" w:ascii="仿宋_GB2312" w:eastAsia="仿宋_GB2312" w:cs="仿宋_GB2312"/>
          <w:b w:val="0"/>
          <w:bCs w:val="0"/>
          <w:caps w:val="0"/>
          <w:color w:val="auto"/>
          <w:kern w:val="0"/>
          <w:sz w:val="32"/>
          <w:szCs w:val="32"/>
          <w:highlight w:val="none"/>
          <w:vertAlign w:val="baseline"/>
          <w:lang w:val="en-US" w:eastAsia="zh-CN" w:bidi="ar"/>
        </w:rPr>
        <w:t>057.28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万元；对下转移支付项目0个，对下转移支付0万元。项目中，敏感涉密项目0个，涉及资金0万元。</w:t>
      </w:r>
    </w:p>
    <w:p w14:paraId="4042C747">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所有项目均开展了绩效自评，其中非敏感涉密项目绩效自评结果为：8个项目评为一等，涉及资金</w:t>
      </w:r>
      <w:r>
        <w:rPr>
          <w:rFonts w:hint="eastAsia" w:ascii="仿宋_GB2312" w:eastAsia="仿宋_GB2312" w:cs="仿宋_GB2312"/>
          <w:b w:val="0"/>
          <w:bCs w:val="0"/>
          <w:caps w:val="0"/>
          <w:color w:val="auto"/>
          <w:kern w:val="0"/>
          <w:sz w:val="32"/>
          <w:szCs w:val="32"/>
          <w:highlight w:val="none"/>
          <w:vertAlign w:val="baseline"/>
          <w:lang w:val="en-US" w:eastAsia="zh-CN" w:bidi="ar"/>
        </w:rPr>
        <w:t>1</w:t>
      </w:r>
      <w:r>
        <w:rPr>
          <w:rFonts w:hint="eastAsia" w:ascii="仿宋_GB2312" w:eastAsia="仿宋_GB2312" w:cs="仿宋_GB2312"/>
          <w:kern w:val="0"/>
          <w:sz w:val="32"/>
          <w:szCs w:val="32"/>
          <w:lang w:val="en-US" w:eastAsia="zh-CN"/>
        </w:rPr>
        <w:t>,</w:t>
      </w:r>
      <w:r>
        <w:rPr>
          <w:rFonts w:hint="eastAsia" w:ascii="仿宋_GB2312" w:eastAsia="仿宋_GB2312" w:cs="仿宋_GB2312"/>
          <w:b w:val="0"/>
          <w:bCs w:val="0"/>
          <w:caps w:val="0"/>
          <w:color w:val="auto"/>
          <w:kern w:val="0"/>
          <w:sz w:val="32"/>
          <w:szCs w:val="32"/>
          <w:highlight w:val="none"/>
          <w:vertAlign w:val="baseline"/>
          <w:lang w:val="en-US" w:eastAsia="zh-CN" w:bidi="ar"/>
        </w:rPr>
        <w:t>057.28</w:t>
      </w:r>
      <w:r>
        <w:rPr>
          <w:rFonts w:hint="eastAsia" w:ascii="仿宋_GB2312" w:hAnsi="Times New Roman" w:eastAsia="仿宋_GB2312" w:cs="仿宋_GB2312"/>
          <w:b w:val="0"/>
          <w:bCs w:val="0"/>
          <w:caps w:val="0"/>
          <w:color w:val="auto"/>
          <w:kern w:val="0"/>
          <w:sz w:val="32"/>
          <w:szCs w:val="32"/>
          <w:vertAlign w:val="baseline"/>
          <w:lang w:val="en-US" w:eastAsia="zh-CN" w:bidi="ar"/>
        </w:rPr>
        <w:t>万元，占项目总数比例100%，占项目支出总额比例100%；</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个项目评为二等，涉及资金</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万元，占项目总数比例</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%，占项目支出总额比例</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个项目评为三等，涉及资金</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万元，占项目总数比例</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%，占项目支出总额比例</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个项目评为四等，涉及资金</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万元，占项目总数比例</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%，占项目支出总额比例</w:t>
      </w:r>
      <w:r>
        <w:rPr>
          <w:rFonts w:hint="eastAsia" w:ascii="仿宋_GB2312" w:eastAsia="仿宋_GB2312" w:cs="仿宋_GB2312"/>
          <w:kern w:val="0"/>
          <w:sz w:val="32"/>
          <w:szCs w:val="32"/>
          <w:lang w:val="en-US" w:eastAsia="zh-CN"/>
        </w:rPr>
        <w:t>0</w:t>
      </w:r>
      <w:r>
        <w:rPr>
          <w:rFonts w:hint="eastAsia" w:ascii="仿宋_GB2312" w:hAnsi="Times New Roman" w:eastAsia="仿宋_GB2312" w:cs="仿宋_GB2312"/>
          <w:b w:val="0"/>
          <w:bCs w:val="0"/>
          <w:caps w:val="0"/>
          <w:color w:val="auto"/>
          <w:kern w:val="0"/>
          <w:sz w:val="32"/>
          <w:szCs w:val="32"/>
          <w:vertAlign w:val="baseline"/>
          <w:lang w:val="en-US" w:eastAsia="zh-CN" w:bidi="ar"/>
        </w:rPr>
        <w:t>%。自评发现的主要问题及原因：一是部分项目预算执行的及时性和均衡性仍有待提高；二是个别项目开展的前期准备工作仍不够充分。下一步改进措施：一是加强项目开展的前期准备工作，将具体任务细化分解，明确责任，狠抓落实；二是抓好预算支出管理，提高预算支出的均衡性。</w:t>
      </w:r>
    </w:p>
    <w:p w14:paraId="037463E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eastAsia="仿宋_GB2312" w:cs="仿宋_GB2312"/>
          <w:b w:val="0"/>
          <w:bCs w:val="0"/>
          <w:caps w:val="0"/>
          <w:color w:val="auto"/>
          <w:kern w:val="0"/>
          <w:sz w:val="32"/>
          <w:szCs w:val="32"/>
          <w:vertAlign w:val="baseline"/>
          <w:lang w:val="en-US" w:eastAsia="zh-CN" w:bidi="ar"/>
        </w:rPr>
        <w:t>2.</w:t>
      </w:r>
      <w:r>
        <w:rPr>
          <w:rFonts w:hint="eastAsia" w:ascii="仿宋_GB2312" w:hAnsi="Times New Roman" w:eastAsia="仿宋_GB2312" w:cs="仿宋_GB2312"/>
          <w:b w:val="0"/>
          <w:bCs w:val="0"/>
          <w:caps w:val="0"/>
          <w:color w:val="auto"/>
          <w:kern w:val="0"/>
          <w:sz w:val="32"/>
          <w:szCs w:val="32"/>
          <w:vertAlign w:val="baseline"/>
          <w:lang w:val="en-US" w:eastAsia="zh-CN" w:bidi="ar"/>
        </w:rPr>
        <w:t>部分重点项目绩效自评情况</w:t>
      </w:r>
    </w:p>
    <w:p w14:paraId="5C34730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根据年初设定的绩效目标，科研项目自评得分为95.79分，一等，项目全年预算数为8</w:t>
      </w:r>
      <w:r>
        <w:rPr>
          <w:rFonts w:hint="eastAsia" w:ascii="仿宋_GB2312" w:eastAsia="仿宋_GB2312" w:cs="仿宋_GB2312"/>
          <w:b w:val="0"/>
          <w:bCs w:val="0"/>
          <w:caps w:val="0"/>
          <w:color w:val="auto"/>
          <w:kern w:val="0"/>
          <w:sz w:val="32"/>
          <w:szCs w:val="32"/>
          <w:vertAlign w:val="baseline"/>
          <w:lang w:val="en-US" w:eastAsia="zh-CN" w:bidi="ar"/>
        </w:rPr>
        <w:t>08.36</w:t>
      </w:r>
      <w:r>
        <w:rPr>
          <w:rFonts w:hint="eastAsia" w:ascii="仿宋_GB2312" w:hAnsi="Times New Roman" w:eastAsia="仿宋_GB2312" w:cs="仿宋_GB2312"/>
          <w:b w:val="0"/>
          <w:bCs w:val="0"/>
          <w:caps w:val="0"/>
          <w:color w:val="auto"/>
          <w:kern w:val="0"/>
          <w:sz w:val="32"/>
          <w:szCs w:val="32"/>
          <w:vertAlign w:val="baseline"/>
          <w:lang w:val="en-US" w:eastAsia="zh-CN" w:bidi="ar"/>
        </w:rPr>
        <w:t>万元，执行数为710.62万元，完成预算的8</w:t>
      </w:r>
      <w:r>
        <w:rPr>
          <w:rFonts w:hint="eastAsia" w:ascii="仿宋_GB2312" w:eastAsia="仿宋_GB2312" w:cs="仿宋_GB2312"/>
          <w:b w:val="0"/>
          <w:bCs w:val="0"/>
          <w:caps w:val="0"/>
          <w:color w:val="auto"/>
          <w:kern w:val="0"/>
          <w:sz w:val="32"/>
          <w:szCs w:val="32"/>
          <w:vertAlign w:val="baseline"/>
          <w:lang w:val="en-US" w:eastAsia="zh-CN" w:bidi="ar"/>
        </w:rPr>
        <w:t>7.91</w:t>
      </w:r>
      <w:r>
        <w:rPr>
          <w:rFonts w:hint="eastAsia" w:ascii="仿宋_GB2312" w:hAnsi="Times New Roman" w:eastAsia="仿宋_GB2312" w:cs="仿宋_GB2312"/>
          <w:b w:val="0"/>
          <w:bCs w:val="0"/>
          <w:caps w:val="0"/>
          <w:color w:val="auto"/>
          <w:kern w:val="0"/>
          <w:sz w:val="32"/>
          <w:szCs w:val="32"/>
          <w:vertAlign w:val="baseline"/>
          <w:lang w:val="en-US" w:eastAsia="zh-CN" w:bidi="ar"/>
        </w:rPr>
        <w:t xml:space="preserve">%。项目绩效目标完成情况：一是全年公开发表论文44篇、申报专利12件、撰写研究报告6篇、采购科研设备8台，各项产出指标均按时按质完成；二是推广应用科技成果4项，家禽死淘率降低1.2%，单位养殖药物使用减少1.2%，科研人员满意度达90%以上，效益及满意度指标均达预期。自评发现的主要问题及原因：一是预算执行率未达100%，主要原因是各科研课题项目开展期限不一致，每年度支出包含存量课题与新增课题，项目支出进度存在一定的不确定性，因此项目预算数按以前年度估计，与实际支出数存在一定偏差；二是“得到推广和应用的科研成果数量”实际完成值较年初目标超额100%，主要原因是单位高度重视科研成果转化推广工作，强化科研项目落地对接，主动加强行业交流与基层技术服务，科研人员积极性和成果转化能力持续提升，年内多项科研成果具备推广应用条件，实际完成 4 项，较年初 2 项目标超额 100%，远超绩效目标。下一步改进措施：一是强化科研项目前期成本测算管理，提高科研项目前期成本测算精细化程度，提升项目预算管理质效；二是后续将科学研判科研发展实际，合理测算年度成果推广基数，精准设定预算绩效目标；同时持续巩固成果转化成效，规范成果推广管理，提升绩效目标编制科学性与精准度。              </w:t>
      </w:r>
    </w:p>
    <w:p w14:paraId="29B8F723">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b/>
          <w:kern w:val="0"/>
          <w:sz w:val="32"/>
          <w:szCs w:val="32"/>
          <w:lang w:val="en-US" w:eastAsia="zh-CN"/>
        </w:rPr>
      </w:pPr>
      <w:r>
        <w:rPr>
          <w:rFonts w:hint="eastAsia" w:eastAsia="仿宋_GB2312" w:cs="Times New Roman"/>
          <w:color w:val="auto"/>
          <w:kern w:val="0"/>
          <w:sz w:val="32"/>
          <w:szCs w:val="32"/>
          <w:highlight w:val="none"/>
          <w:lang w:val="en-US" w:eastAsia="zh-CN"/>
        </w:rPr>
        <w:t>重点项目绩效自评表详见《广西壮族自治区兽医研究所</w:t>
      </w:r>
      <w:r>
        <w:rPr>
          <w:rFonts w:hint="default" w:ascii="Times New Roman" w:hAnsi="Times New Roman" w:eastAsia="仿宋_GB2312" w:cs="Times New Roman"/>
          <w:color w:val="auto"/>
          <w:kern w:val="0"/>
          <w:sz w:val="32"/>
          <w:szCs w:val="32"/>
          <w:highlight w:val="none"/>
        </w:rPr>
        <w:t>202</w:t>
      </w:r>
      <w:r>
        <w:rPr>
          <w:rFonts w:hint="eastAsia"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年度部门预算</w:t>
      </w:r>
      <w:r>
        <w:rPr>
          <w:rFonts w:hint="eastAsia" w:eastAsia="仿宋_GB2312" w:cs="Times New Roman"/>
          <w:color w:val="auto"/>
          <w:kern w:val="0"/>
          <w:sz w:val="32"/>
          <w:szCs w:val="32"/>
          <w:highlight w:val="none"/>
          <w:lang w:eastAsia="zh-CN"/>
        </w:rPr>
        <w:t>重点</w:t>
      </w:r>
      <w:r>
        <w:rPr>
          <w:rFonts w:hint="default" w:ascii="Times New Roman" w:hAnsi="Times New Roman" w:eastAsia="仿宋_GB2312" w:cs="Times New Roman"/>
          <w:color w:val="auto"/>
          <w:kern w:val="0"/>
          <w:sz w:val="32"/>
          <w:szCs w:val="32"/>
          <w:highlight w:val="none"/>
        </w:rPr>
        <w:t>项目绩效自评表</w:t>
      </w:r>
      <w:r>
        <w:rPr>
          <w:rFonts w:hint="eastAsia" w:eastAsia="仿宋_GB2312" w:cs="Times New Roman"/>
          <w:color w:val="auto"/>
          <w:kern w:val="0"/>
          <w:sz w:val="32"/>
          <w:szCs w:val="32"/>
          <w:highlight w:val="none"/>
          <w:lang w:val="en-US" w:eastAsia="zh-CN"/>
        </w:rPr>
        <w:t>》。</w:t>
      </w:r>
    </w:p>
    <w:p w14:paraId="05160400">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67FD86A2">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61414584">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562D3E5E">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14FD5E0B">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03926C59">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43165FD5">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231B7CBA">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5FA03349">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7CF3B0BE">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1703F08B">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07EDC0BE">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1A039DF5">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1476905F">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6DB150A2">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166781A4">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719F54F2">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7C7EA0D5">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27411A5D">
      <w:pPr>
        <w:autoSpaceDE w:val="0"/>
        <w:autoSpaceDN w:val="0"/>
        <w:adjustRightInd w:val="0"/>
        <w:spacing w:line="560" w:lineRule="exact"/>
        <w:jc w:val="center"/>
        <w:rPr>
          <w:rFonts w:hint="eastAsia" w:ascii="黑体" w:hAnsi="黑体" w:eastAsia="黑体" w:cs="仿宋_GB2312"/>
          <w:kern w:val="0"/>
          <w:sz w:val="32"/>
          <w:szCs w:val="32"/>
          <w:lang w:val="en-US" w:eastAsia="zh-CN"/>
        </w:rPr>
      </w:pPr>
    </w:p>
    <w:p w14:paraId="3985FAEA">
      <w:pPr>
        <w:autoSpaceDE w:val="0"/>
        <w:autoSpaceDN w:val="0"/>
        <w:adjustRightInd w:val="0"/>
        <w:spacing w:line="560" w:lineRule="exact"/>
        <w:jc w:val="center"/>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lang w:val="en-US" w:eastAsia="zh-CN"/>
        </w:rPr>
        <w:t>第四部分  名词解释</w:t>
      </w:r>
    </w:p>
    <w:p w14:paraId="3F5967D8">
      <w:pPr>
        <w:spacing w:line="560" w:lineRule="exact"/>
        <w:ind w:firstLine="64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一、财政拨款收入：指自治区财政部门当年拨付的资金。</w:t>
      </w:r>
    </w:p>
    <w:p w14:paraId="296F512E">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二、事业收入：指事业单位开展专业业务活动及辅助活动所取得的收入。</w:t>
      </w:r>
    </w:p>
    <w:p w14:paraId="7209E0C6">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三、经营收入：指事业单位在专业业务活动及其辅助活动之外开展非独立核算经营活动取得的收入。</w:t>
      </w:r>
    </w:p>
    <w:p w14:paraId="065AC8C4">
      <w:pPr>
        <w:spacing w:line="560" w:lineRule="exact"/>
        <w:ind w:firstLine="64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四、其他收入：指除上述“财政拨款收入”“事业收入”“经营收入”等以外的收入。</w:t>
      </w:r>
    </w:p>
    <w:p w14:paraId="3A048140">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五、使用非财政拨款结余（含专用结余）：指事业单位在当年的“财政拨款收入”“事业收入”“经营收入”“其他收入”不足以安排当年支出的情况下，使用非财政拨款结余、专用结余弥补本年度收支缺口的资金。</w:t>
      </w:r>
    </w:p>
    <w:p w14:paraId="37D04A06">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六、年初结转和结余：指以前年度尚未完成、结转到本年 按有关规定继续使用的资金。</w:t>
      </w:r>
    </w:p>
    <w:p w14:paraId="4B88FC73">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七、结余分配：指事业单位按规定提取的职工福利基金、事业基金和缴纳的所得税，以及建设单位按规定应交回的基本建设竣工项目结余资金。</w:t>
      </w:r>
    </w:p>
    <w:p w14:paraId="74463E03">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八、年末结转和结余：指本年度或以前年度预算安排、因客观条件发生变化无法按原计划实施，需要延迟到以后年度按有关规定继续使用的资金。</w:t>
      </w:r>
    </w:p>
    <w:p w14:paraId="6BA895D9">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九、基本支出：指为保障机构正常运转、完成日常工作任务而发生的人员支出和公用支出。</w:t>
      </w:r>
    </w:p>
    <w:p w14:paraId="4557ECC3">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十、项目支出：指在基本支出之外为完成特定行政任务和事业发展目标所发生的支出。</w:t>
      </w:r>
    </w:p>
    <w:p w14:paraId="23F6F9B1">
      <w:pPr>
        <w:spacing w:line="560" w:lineRule="exact"/>
        <w:ind w:firstLine="64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十一、经营支出：指事业单位在专业业务活动及其辅助活动之外开展非独立核算经营活动发生的支出。</w:t>
      </w:r>
    </w:p>
    <w:p w14:paraId="7BEC0C46">
      <w:pPr>
        <w:spacing w:line="560" w:lineRule="exact"/>
        <w:ind w:firstLine="640" w:firstLineChars="200"/>
        <w:jc w:val="both"/>
        <w:rPr>
          <w:rFonts w:hint="eastAsia" w:ascii="仿宋_GB2312" w:eastAsia="仿宋_GB2312"/>
          <w:sz w:val="32"/>
          <w:szCs w:val="32"/>
          <w:lang w:val="en-US" w:eastAsia="zh-CN"/>
        </w:rPr>
      </w:pPr>
      <w:r>
        <w:rPr>
          <w:rFonts w:hint="eastAsia" w:ascii="仿宋_GB2312" w:eastAsia="仿宋_GB2312"/>
          <w:sz w:val="32"/>
          <w:szCs w:val="32"/>
          <w:lang w:val="en-US" w:eastAsia="zh-CN"/>
        </w:rPr>
        <w:t>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4270A9C">
      <w:pPr>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ascii="仿宋_GB2312" w:eastAsia="仿宋_GB2312"/>
          <w:sz w:val="32"/>
          <w:szCs w:val="32"/>
          <w:lang w:val="en-US" w:eastAsia="zh-CN"/>
        </w:rPr>
        <w:t>十三、</w:t>
      </w:r>
      <w:r>
        <w:rPr>
          <w:rFonts w:hint="eastAsia" w:ascii="仿宋_GB2312" w:eastAsia="仿宋_GB2312"/>
          <w:sz w:val="32"/>
          <w:szCs w:val="32"/>
          <w:u w:val="none"/>
        </w:rPr>
        <w:t>事业单位运行经费：为保障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9AF84C5">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eastAsia="zh-CN"/>
        </w:rPr>
        <w:t>十四</w:t>
      </w:r>
      <w:r>
        <w:rPr>
          <w:rFonts w:hint="default" w:ascii="Times New Roman" w:hAnsi="Times New Roman" w:eastAsia="仿宋_GB2312" w:cs="Times New Roman"/>
          <w:color w:val="auto"/>
          <w:kern w:val="0"/>
          <w:sz w:val="32"/>
          <w:szCs w:val="32"/>
          <w:highlight w:val="none"/>
        </w:rPr>
        <w:t>、科学技术支出（类）应用研究（款）：反映在基础研究成果上，针对某一特定的实际目的或目标进行的创造性研究工作的支出。</w:t>
      </w:r>
    </w:p>
    <w:p w14:paraId="128A3318">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机构运行（项）：反映应用研究机构的基本支出。</w:t>
      </w:r>
    </w:p>
    <w:p w14:paraId="2896627E">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社会公益研究（项）：反映从事卫生、劳动保护、计划生育、环境科学、农业等社会公益专项科研方面的支出。</w:t>
      </w:r>
    </w:p>
    <w:p w14:paraId="768824AD">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其他应用研究支出（项）：反映除上述项目以外其他用于应用研究方面的支出。</w:t>
      </w:r>
    </w:p>
    <w:p w14:paraId="7D63D3A2">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eastAsia="zh-CN"/>
        </w:rPr>
        <w:t>十五</w:t>
      </w:r>
      <w:r>
        <w:rPr>
          <w:rFonts w:hint="default" w:ascii="Times New Roman" w:hAnsi="Times New Roman" w:eastAsia="仿宋_GB2312" w:cs="Times New Roman"/>
          <w:color w:val="auto"/>
          <w:kern w:val="0"/>
          <w:sz w:val="32"/>
          <w:szCs w:val="32"/>
          <w:highlight w:val="none"/>
        </w:rPr>
        <w:t>、社会保障和就业支出（类）行政事业单位养老支出（款）：反映用于行政事业单位养老方面的支出。</w:t>
      </w:r>
    </w:p>
    <w:p w14:paraId="3C4CC4A7">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事业单位离退休（项）：反映事业单位开支的离退休经费。</w:t>
      </w:r>
    </w:p>
    <w:p w14:paraId="5C81FC45">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机关事业单位基本养老保险缴费支出（项）：反映机关事业单位实施养老保险制度由单位缴纳的基本养老保险费支出。</w:t>
      </w:r>
    </w:p>
    <w:p w14:paraId="616522C2">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机关事业单位职业年金缴费支出（项）：反映机关事业单位实施养老保险制度由单位实际缴纳的职业年金支出。</w:t>
      </w:r>
    </w:p>
    <w:p w14:paraId="217804F9">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eastAsia="zh-CN"/>
        </w:rPr>
        <w:t>十六</w:t>
      </w:r>
      <w:r>
        <w:rPr>
          <w:rFonts w:hint="default" w:ascii="Times New Roman" w:hAnsi="Times New Roman" w:eastAsia="仿宋_GB2312" w:cs="Times New Roman"/>
          <w:color w:val="auto"/>
          <w:kern w:val="0"/>
          <w:sz w:val="32"/>
          <w:szCs w:val="32"/>
          <w:highlight w:val="none"/>
        </w:rPr>
        <w:t>、社会保障和就业支出（类）抚恤（款）：反映用于各类优抚对象和优抚事业单位的支出。</w:t>
      </w:r>
    </w:p>
    <w:p w14:paraId="051E4F54">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死亡抚恤（项）：反映按规定用于烈士和牺牲、病故人员家属的一次性和定期抚恤金、丧葬补助费及烈士褒扬金。</w:t>
      </w:r>
    </w:p>
    <w:p w14:paraId="6DF69980">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eastAsia="zh-CN"/>
        </w:rPr>
        <w:t>十七</w:t>
      </w:r>
      <w:r>
        <w:rPr>
          <w:rFonts w:hint="default" w:ascii="Times New Roman" w:hAnsi="Times New Roman" w:eastAsia="仿宋_GB2312" w:cs="Times New Roman"/>
          <w:color w:val="auto"/>
          <w:kern w:val="0"/>
          <w:sz w:val="32"/>
          <w:szCs w:val="32"/>
          <w:highlight w:val="none"/>
        </w:rPr>
        <w:t>、卫生健康支出（类）行政事业单位医疗（款）：反映行政事业单位医疗方面的支出。</w:t>
      </w:r>
    </w:p>
    <w:p w14:paraId="13013F95">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事业单位医疗（项）：反映财政部门安排的事业单位基本医疗保险缴费经费，未参加医疗保险的事业单位的公费医疗经费，按国家规定享受离休人员待遇的医疗经费。</w:t>
      </w:r>
    </w:p>
    <w:p w14:paraId="2808E9A9">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公务员医疗补助（项）：反映财政部门安排的公务员医疗补助经费。</w:t>
      </w:r>
    </w:p>
    <w:p w14:paraId="5ED77844">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eastAsia="zh-CN"/>
        </w:rPr>
        <w:t>十八</w:t>
      </w:r>
      <w:r>
        <w:rPr>
          <w:rFonts w:hint="default" w:ascii="Times New Roman" w:hAnsi="Times New Roman" w:eastAsia="仿宋_GB2312" w:cs="Times New Roman"/>
          <w:color w:val="auto"/>
          <w:kern w:val="0"/>
          <w:sz w:val="32"/>
          <w:szCs w:val="32"/>
          <w:highlight w:val="none"/>
        </w:rPr>
        <w:t>、农林水支出（类）农业农村（款）：反映种植业、畜牧业、渔业、种业、兽医、农机、农垦、农场、农村产业、农村社会事业等方面的支出。</w:t>
      </w:r>
    </w:p>
    <w:p w14:paraId="094292A3">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其他农业农村支出（项）：反映除上述项目以外其他用于农业农村方面的支出。</w:t>
      </w:r>
    </w:p>
    <w:p w14:paraId="0888CDBA">
      <w:pPr>
        <w:autoSpaceDE w:val="0"/>
        <w:autoSpaceDN w:val="0"/>
        <w:adjustRightInd w:val="0"/>
        <w:spacing w:line="560" w:lineRule="exact"/>
        <w:ind w:firstLine="640" w:firstLineChars="200"/>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eastAsia="zh-CN"/>
        </w:rPr>
        <w:t>十九</w:t>
      </w:r>
      <w:r>
        <w:rPr>
          <w:rFonts w:hint="default" w:ascii="Times New Roman" w:hAnsi="Times New Roman" w:eastAsia="仿宋_GB2312" w:cs="Times New Roman"/>
          <w:color w:val="auto"/>
          <w:kern w:val="0"/>
          <w:sz w:val="32"/>
          <w:szCs w:val="32"/>
          <w:highlight w:val="none"/>
        </w:rPr>
        <w:t>、住房保障支出（类）住房改革支出（款）：反映行政事业单位用财政拨款资金和其他资金等安排的住房改革支出。</w:t>
      </w:r>
    </w:p>
    <w:p w14:paraId="06C04CAE">
      <w:pPr>
        <w:autoSpaceDE w:val="0"/>
        <w:autoSpaceDN w:val="0"/>
        <w:adjustRightInd w:val="0"/>
        <w:spacing w:line="560" w:lineRule="exact"/>
        <w:ind w:firstLine="640" w:firstLineChars="200"/>
        <w:rPr>
          <w:rFonts w:hint="eastAsia" w:ascii="仿宋_GB2312" w:eastAsia="仿宋_GB2312" w:cs="仿宋_GB2312"/>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住房公积金（项）：反映行政事业单位按人力资源和社会保障部、财政部规定的基本工资和津贴补贴以及规定比例为职工缴纳的住房公积金。</w:t>
      </w:r>
    </w:p>
    <w:p w14:paraId="71651972">
      <w:pPr>
        <w:spacing w:line="560" w:lineRule="exact"/>
        <w:ind w:firstLine="640" w:firstLineChars="200"/>
        <w:rPr>
          <w:rFonts w:hint="eastAsia" w:ascii="黑体" w:hAnsi="黑体" w:eastAsia="黑体"/>
          <w:bCs/>
          <w:color w:val="auto"/>
          <w:sz w:val="32"/>
          <w:szCs w:val="32"/>
          <w:highlight w:val="none"/>
        </w:rPr>
      </w:pPr>
      <w:r>
        <w:rPr>
          <w:rFonts w:hint="eastAsia" w:ascii="黑体" w:hAnsi="黑体" w:eastAsia="黑体"/>
          <w:bCs/>
          <w:color w:val="auto"/>
          <w:sz w:val="32"/>
          <w:szCs w:val="32"/>
          <w:highlight w:val="none"/>
        </w:rPr>
        <w:t>第五部分：附件</w:t>
      </w:r>
    </w:p>
    <w:p w14:paraId="32C52ACB">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rPr>
      </w:pPr>
      <w:r>
        <w:rPr>
          <w:rFonts w:hint="eastAsia" w:eastAsia="仿宋_GB2312" w:cs="Times New Roman"/>
          <w:color w:val="auto"/>
          <w:kern w:val="0"/>
          <w:sz w:val="32"/>
          <w:szCs w:val="32"/>
          <w:highlight w:val="none"/>
          <w:lang w:val="en-US" w:eastAsia="zh-CN"/>
        </w:rPr>
        <w:t>1.广西壮族自治区兽医研究所</w:t>
      </w:r>
      <w:r>
        <w:rPr>
          <w:rFonts w:hint="default" w:ascii="Times New Roman" w:hAnsi="Times New Roman" w:eastAsia="仿宋_GB2312" w:cs="Times New Roman"/>
          <w:color w:val="auto"/>
          <w:kern w:val="0"/>
          <w:sz w:val="32"/>
          <w:szCs w:val="32"/>
          <w:highlight w:val="none"/>
        </w:rPr>
        <w:t>202</w:t>
      </w:r>
      <w:r>
        <w:rPr>
          <w:rFonts w:hint="eastAsia"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年度部门决算</w:t>
      </w:r>
      <w:r>
        <w:rPr>
          <w:rFonts w:hint="eastAsia" w:eastAsia="仿宋_GB2312" w:cs="Times New Roman"/>
          <w:color w:val="auto"/>
          <w:kern w:val="0"/>
          <w:sz w:val="32"/>
          <w:szCs w:val="32"/>
          <w:highlight w:val="none"/>
          <w:lang w:eastAsia="zh-CN"/>
        </w:rPr>
        <w:t>公开</w:t>
      </w:r>
      <w:r>
        <w:rPr>
          <w:rFonts w:hint="default" w:ascii="Times New Roman" w:hAnsi="Times New Roman" w:eastAsia="仿宋_GB2312" w:cs="Times New Roman"/>
          <w:color w:val="auto"/>
          <w:kern w:val="0"/>
          <w:sz w:val="32"/>
          <w:szCs w:val="32"/>
          <w:highlight w:val="none"/>
        </w:rPr>
        <w:t>报表</w:t>
      </w:r>
    </w:p>
    <w:p w14:paraId="01FA2BDA">
      <w:pPr>
        <w:keepNext w:val="0"/>
        <w:keepLines w:val="0"/>
        <w:pageBreakBefore w:val="0"/>
        <w:widowControl w:val="0"/>
        <w:numPr>
          <w:ilvl w:val="0"/>
          <w:numId w:val="0"/>
        </w:numPr>
        <w:kinsoku/>
        <w:wordWrap/>
        <w:overflowPunct/>
        <w:topLinePunct w:val="0"/>
        <w:autoSpaceDE w:val="0"/>
        <w:autoSpaceDN w:val="0"/>
        <w:bidi w:val="0"/>
        <w:adjustRightInd w:val="0"/>
        <w:snapToGrid/>
        <w:spacing w:line="560" w:lineRule="exact"/>
        <w:ind w:firstLine="640" w:firstLineChars="200"/>
        <w:textAlignment w:val="auto"/>
        <w:rPr>
          <w:rFonts w:hint="eastAsia" w:ascii="黑体" w:hAnsi="黑体" w:eastAsia="黑体" w:cs="仿宋_GB2312"/>
          <w:kern w:val="0"/>
          <w:sz w:val="32"/>
          <w:szCs w:val="32"/>
          <w:lang w:val="en-US" w:eastAsia="zh-CN"/>
        </w:rPr>
      </w:pPr>
      <w:r>
        <w:rPr>
          <w:rFonts w:hint="eastAsia" w:eastAsia="仿宋_GB2312" w:cs="Times New Roman"/>
          <w:color w:val="auto"/>
          <w:kern w:val="0"/>
          <w:sz w:val="32"/>
          <w:szCs w:val="32"/>
          <w:highlight w:val="none"/>
          <w:lang w:val="en-US" w:eastAsia="zh-CN"/>
        </w:rPr>
        <w:t>2.广西壮族自治区兽医研究所</w:t>
      </w:r>
      <w:r>
        <w:rPr>
          <w:rFonts w:hint="default" w:ascii="Times New Roman" w:hAnsi="Times New Roman" w:eastAsia="仿宋_GB2312" w:cs="Times New Roman"/>
          <w:color w:val="auto"/>
          <w:kern w:val="0"/>
          <w:sz w:val="32"/>
          <w:szCs w:val="32"/>
          <w:highlight w:val="none"/>
        </w:rPr>
        <w:t>202</w:t>
      </w:r>
      <w:r>
        <w:rPr>
          <w:rFonts w:hint="eastAsia" w:eastAsia="仿宋_GB2312" w:cs="Times New Roman"/>
          <w:color w:val="auto"/>
          <w:kern w:val="0"/>
          <w:sz w:val="32"/>
          <w:szCs w:val="32"/>
          <w:highlight w:val="none"/>
          <w:lang w:val="en-US" w:eastAsia="zh-CN"/>
        </w:rPr>
        <w:t>5</w:t>
      </w:r>
      <w:r>
        <w:rPr>
          <w:rFonts w:hint="default" w:ascii="Times New Roman" w:hAnsi="Times New Roman" w:eastAsia="仿宋_GB2312" w:cs="Times New Roman"/>
          <w:color w:val="auto"/>
          <w:kern w:val="0"/>
          <w:sz w:val="32"/>
          <w:szCs w:val="32"/>
          <w:highlight w:val="none"/>
        </w:rPr>
        <w:t>年度部门预算</w:t>
      </w:r>
      <w:r>
        <w:rPr>
          <w:rFonts w:hint="eastAsia" w:eastAsia="仿宋_GB2312" w:cs="Times New Roman"/>
          <w:color w:val="auto"/>
          <w:kern w:val="0"/>
          <w:sz w:val="32"/>
          <w:szCs w:val="32"/>
          <w:highlight w:val="none"/>
          <w:lang w:eastAsia="zh-CN"/>
        </w:rPr>
        <w:t>重点</w:t>
      </w:r>
      <w:r>
        <w:rPr>
          <w:rFonts w:hint="default" w:ascii="Times New Roman" w:hAnsi="Times New Roman" w:eastAsia="仿宋_GB2312" w:cs="Times New Roman"/>
          <w:color w:val="auto"/>
          <w:kern w:val="0"/>
          <w:sz w:val="32"/>
          <w:szCs w:val="32"/>
          <w:highlight w:val="none"/>
        </w:rPr>
        <w:t>项目绩效自评表</w:t>
      </w:r>
    </w:p>
    <w:sectPr>
      <w:pgSz w:w="11906" w:h="16838"/>
      <w:pgMar w:top="1440" w:right="1800" w:bottom="1440" w:left="1800"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ArialUnicodeMS">
    <w:altName w:val="方正小标宋简体"/>
    <w:panose1 w:val="00000000000000000000"/>
    <w:charset w:val="00"/>
    <w:family w:val="auto"/>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68B5C">
    <w:pPr>
      <w:pStyle w:val="5"/>
      <w:ind w:right="280"/>
      <w:jc w:val="right"/>
      <w:rPr>
        <w:lang w:val="en-US" w:eastAsia="zh-CN"/>
      </w:rPr>
    </w:pPr>
    <w:r>
      <w:rPr>
        <w:rFonts w:hint="eastAsia" w:ascii="宋体" w:hAnsi="宋体"/>
        <w:sz w:val="28"/>
        <w:szCs w:val="28"/>
        <w:lang w:val="en-US" w:eastAsia="zh-CN"/>
      </w:rPr>
      <w:t>—</w:t>
    </w:r>
    <w:r>
      <w:rPr>
        <w:rFonts w:ascii="宋体" w:hAnsi="宋体"/>
        <w:sz w:val="28"/>
        <w:szCs w:val="28"/>
        <w:lang w:val="en-US" w:eastAsia="zh-CN"/>
      </w:rPr>
      <w:fldChar w:fldCharType="begin"/>
    </w:r>
    <w:r>
      <w:rPr>
        <w:rFonts w:ascii="宋体" w:hAnsi="宋体"/>
        <w:sz w:val="28"/>
        <w:szCs w:val="28"/>
        <w:lang w:val="en-US" w:eastAsia="zh-CN"/>
      </w:rPr>
      <w:instrText xml:space="preserve">PAGE   \* MERGEFORMAT</w:instrText>
    </w:r>
    <w:r>
      <w:rPr>
        <w:rFonts w:ascii="宋体" w:hAnsi="宋体"/>
        <w:sz w:val="28"/>
        <w:szCs w:val="28"/>
        <w:lang w:val="en-US" w:eastAsia="zh-CN"/>
      </w:rPr>
      <w:fldChar w:fldCharType="separate"/>
    </w:r>
    <w:r>
      <w:rPr>
        <w:rFonts w:ascii="宋体" w:hAnsi="宋体"/>
        <w:sz w:val="28"/>
        <w:szCs w:val="28"/>
        <w:lang w:val="zh-CN"/>
      </w:rPr>
      <w:t>15</w:t>
    </w:r>
    <w:r>
      <w:rPr>
        <w:rFonts w:ascii="宋体" w:hAnsi="宋体"/>
        <w:sz w:val="28"/>
        <w:szCs w:val="28"/>
        <w:lang w:val="en-US" w:eastAsia="zh-CN"/>
      </w:rPr>
      <w:fldChar w:fldCharType="end"/>
    </w:r>
    <w:r>
      <w:rPr>
        <w:rFonts w:hint="eastAsia" w:ascii="宋体" w:hAnsi="宋体"/>
        <w:sz w:val="28"/>
        <w:szCs w:val="28"/>
        <w:lang w:val="en-US"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22EF9">
    <w:pPr>
      <w:pStyle w:val="5"/>
      <w:ind w:firstLine="420" w:firstLineChars="150"/>
      <w:jc w:val="left"/>
      <w:rPr>
        <w:lang w:val="en-US" w:eastAsia="zh-CN"/>
      </w:rPr>
    </w:pPr>
    <w:r>
      <w:rPr>
        <w:rFonts w:hint="eastAsia" w:ascii="宋体" w:hAnsi="宋体"/>
        <w:sz w:val="28"/>
        <w:szCs w:val="28"/>
        <w:lang w:val="en-US" w:eastAsia="zh-CN"/>
      </w:rPr>
      <w:t>—</w:t>
    </w:r>
    <w:r>
      <w:rPr>
        <w:rFonts w:ascii="宋体" w:hAnsi="宋体"/>
        <w:sz w:val="28"/>
        <w:szCs w:val="28"/>
        <w:lang w:val="en-US" w:eastAsia="zh-CN"/>
      </w:rPr>
      <w:fldChar w:fldCharType="begin"/>
    </w:r>
    <w:r>
      <w:rPr>
        <w:rFonts w:ascii="宋体" w:hAnsi="宋体"/>
        <w:sz w:val="28"/>
        <w:szCs w:val="28"/>
        <w:lang w:val="en-US" w:eastAsia="zh-CN"/>
      </w:rPr>
      <w:instrText xml:space="preserve">PAGE   \* MERGEFORMAT</w:instrText>
    </w:r>
    <w:r>
      <w:rPr>
        <w:rFonts w:ascii="宋体" w:hAnsi="宋体"/>
        <w:sz w:val="28"/>
        <w:szCs w:val="28"/>
        <w:lang w:val="en-US" w:eastAsia="zh-CN"/>
      </w:rPr>
      <w:fldChar w:fldCharType="separate"/>
    </w:r>
    <w:r>
      <w:rPr>
        <w:rFonts w:ascii="宋体" w:hAnsi="宋体"/>
        <w:sz w:val="28"/>
        <w:szCs w:val="28"/>
        <w:lang w:val="zh-CN"/>
      </w:rPr>
      <w:t>14</w:t>
    </w:r>
    <w:r>
      <w:rPr>
        <w:rFonts w:ascii="宋体" w:hAnsi="宋体"/>
        <w:sz w:val="28"/>
        <w:szCs w:val="28"/>
        <w:lang w:val="en-US" w:eastAsia="zh-CN"/>
      </w:rPr>
      <w:fldChar w:fldCharType="end"/>
    </w:r>
    <w:r>
      <w:rPr>
        <w:rFonts w:hint="eastAsia" w:ascii="宋体" w:hAnsi="宋体"/>
        <w:sz w:val="28"/>
        <w:szCs w:val="28"/>
        <w:lang w:val="en-US"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03A"/>
    <w:rsid w:val="00000C19"/>
    <w:rsid w:val="000025D7"/>
    <w:rsid w:val="000029C9"/>
    <w:rsid w:val="00011970"/>
    <w:rsid w:val="00012A72"/>
    <w:rsid w:val="000132BE"/>
    <w:rsid w:val="0001353E"/>
    <w:rsid w:val="00014B7F"/>
    <w:rsid w:val="000157A9"/>
    <w:rsid w:val="00017F54"/>
    <w:rsid w:val="000206F8"/>
    <w:rsid w:val="0002142A"/>
    <w:rsid w:val="000222ED"/>
    <w:rsid w:val="000275C8"/>
    <w:rsid w:val="00030D95"/>
    <w:rsid w:val="00032D5F"/>
    <w:rsid w:val="000373C3"/>
    <w:rsid w:val="0004145E"/>
    <w:rsid w:val="000441F7"/>
    <w:rsid w:val="00046498"/>
    <w:rsid w:val="0004689D"/>
    <w:rsid w:val="00050F20"/>
    <w:rsid w:val="000534BF"/>
    <w:rsid w:val="00053DFF"/>
    <w:rsid w:val="000624C1"/>
    <w:rsid w:val="00062651"/>
    <w:rsid w:val="00075941"/>
    <w:rsid w:val="000772EB"/>
    <w:rsid w:val="0008469B"/>
    <w:rsid w:val="00084D65"/>
    <w:rsid w:val="00084D7B"/>
    <w:rsid w:val="000855C8"/>
    <w:rsid w:val="00086800"/>
    <w:rsid w:val="00087056"/>
    <w:rsid w:val="00090B5D"/>
    <w:rsid w:val="000910E5"/>
    <w:rsid w:val="0009172A"/>
    <w:rsid w:val="00091768"/>
    <w:rsid w:val="00094416"/>
    <w:rsid w:val="00094BD1"/>
    <w:rsid w:val="0009684C"/>
    <w:rsid w:val="00096F23"/>
    <w:rsid w:val="0009722B"/>
    <w:rsid w:val="000A2AB8"/>
    <w:rsid w:val="000A6054"/>
    <w:rsid w:val="000A6C6F"/>
    <w:rsid w:val="000B28CB"/>
    <w:rsid w:val="000B3150"/>
    <w:rsid w:val="000B4991"/>
    <w:rsid w:val="000B50F0"/>
    <w:rsid w:val="000B6ADF"/>
    <w:rsid w:val="000C0E3B"/>
    <w:rsid w:val="000C5BEC"/>
    <w:rsid w:val="000C63B9"/>
    <w:rsid w:val="000C6D5F"/>
    <w:rsid w:val="000C6FCB"/>
    <w:rsid w:val="000D23D3"/>
    <w:rsid w:val="000D2E1E"/>
    <w:rsid w:val="000D3F04"/>
    <w:rsid w:val="000D4FEF"/>
    <w:rsid w:val="000D59C5"/>
    <w:rsid w:val="000E0EF2"/>
    <w:rsid w:val="000E46F0"/>
    <w:rsid w:val="000F1C31"/>
    <w:rsid w:val="000F2407"/>
    <w:rsid w:val="000F2C94"/>
    <w:rsid w:val="000F6708"/>
    <w:rsid w:val="000F7869"/>
    <w:rsid w:val="0010068C"/>
    <w:rsid w:val="00100FAF"/>
    <w:rsid w:val="00102D27"/>
    <w:rsid w:val="00103347"/>
    <w:rsid w:val="0010639B"/>
    <w:rsid w:val="00107921"/>
    <w:rsid w:val="001112C5"/>
    <w:rsid w:val="00112FD8"/>
    <w:rsid w:val="001142CD"/>
    <w:rsid w:val="0011491B"/>
    <w:rsid w:val="00116EA1"/>
    <w:rsid w:val="00122319"/>
    <w:rsid w:val="00123033"/>
    <w:rsid w:val="00124337"/>
    <w:rsid w:val="00124374"/>
    <w:rsid w:val="00124696"/>
    <w:rsid w:val="00127C35"/>
    <w:rsid w:val="00131E61"/>
    <w:rsid w:val="00134300"/>
    <w:rsid w:val="0014054D"/>
    <w:rsid w:val="00140B11"/>
    <w:rsid w:val="00143E79"/>
    <w:rsid w:val="001452D0"/>
    <w:rsid w:val="00146528"/>
    <w:rsid w:val="00146943"/>
    <w:rsid w:val="00146A23"/>
    <w:rsid w:val="00152434"/>
    <w:rsid w:val="00154352"/>
    <w:rsid w:val="00154359"/>
    <w:rsid w:val="00155313"/>
    <w:rsid w:val="00160A4D"/>
    <w:rsid w:val="00170279"/>
    <w:rsid w:val="001718C7"/>
    <w:rsid w:val="0017498B"/>
    <w:rsid w:val="001847E1"/>
    <w:rsid w:val="00184C71"/>
    <w:rsid w:val="00184D07"/>
    <w:rsid w:val="00185888"/>
    <w:rsid w:val="00186585"/>
    <w:rsid w:val="001865E7"/>
    <w:rsid w:val="0018764F"/>
    <w:rsid w:val="00191280"/>
    <w:rsid w:val="00194E59"/>
    <w:rsid w:val="00196A9B"/>
    <w:rsid w:val="001A0C25"/>
    <w:rsid w:val="001A1448"/>
    <w:rsid w:val="001A6FD4"/>
    <w:rsid w:val="001A7D11"/>
    <w:rsid w:val="001B0307"/>
    <w:rsid w:val="001B166A"/>
    <w:rsid w:val="001B4B53"/>
    <w:rsid w:val="001B5D25"/>
    <w:rsid w:val="001C104A"/>
    <w:rsid w:val="001D0189"/>
    <w:rsid w:val="001D3D99"/>
    <w:rsid w:val="001D676E"/>
    <w:rsid w:val="001D6B9B"/>
    <w:rsid w:val="001E1E8E"/>
    <w:rsid w:val="001E263B"/>
    <w:rsid w:val="001E5C0E"/>
    <w:rsid w:val="001F5DC2"/>
    <w:rsid w:val="002018A2"/>
    <w:rsid w:val="0020576C"/>
    <w:rsid w:val="00207EAA"/>
    <w:rsid w:val="002109FE"/>
    <w:rsid w:val="00215D56"/>
    <w:rsid w:val="002160E7"/>
    <w:rsid w:val="002208D1"/>
    <w:rsid w:val="00220F16"/>
    <w:rsid w:val="00221229"/>
    <w:rsid w:val="00222800"/>
    <w:rsid w:val="00224936"/>
    <w:rsid w:val="00226542"/>
    <w:rsid w:val="00232489"/>
    <w:rsid w:val="00237501"/>
    <w:rsid w:val="00237B04"/>
    <w:rsid w:val="00237B7A"/>
    <w:rsid w:val="00240535"/>
    <w:rsid w:val="00240953"/>
    <w:rsid w:val="002416AE"/>
    <w:rsid w:val="00241DEE"/>
    <w:rsid w:val="0024429E"/>
    <w:rsid w:val="00246C1D"/>
    <w:rsid w:val="00250261"/>
    <w:rsid w:val="002504E7"/>
    <w:rsid w:val="002514D7"/>
    <w:rsid w:val="0025158F"/>
    <w:rsid w:val="00251F64"/>
    <w:rsid w:val="00251FA3"/>
    <w:rsid w:val="00253683"/>
    <w:rsid w:val="0025461A"/>
    <w:rsid w:val="002603EE"/>
    <w:rsid w:val="0026094C"/>
    <w:rsid w:val="00260D24"/>
    <w:rsid w:val="002633F3"/>
    <w:rsid w:val="00266617"/>
    <w:rsid w:val="002675C3"/>
    <w:rsid w:val="00267C5B"/>
    <w:rsid w:val="00267CC9"/>
    <w:rsid w:val="00274E01"/>
    <w:rsid w:val="002752E2"/>
    <w:rsid w:val="002803AA"/>
    <w:rsid w:val="002804E0"/>
    <w:rsid w:val="00291736"/>
    <w:rsid w:val="002954D5"/>
    <w:rsid w:val="002A02D0"/>
    <w:rsid w:val="002A368F"/>
    <w:rsid w:val="002A3928"/>
    <w:rsid w:val="002A3E37"/>
    <w:rsid w:val="002A555C"/>
    <w:rsid w:val="002A6A9A"/>
    <w:rsid w:val="002B1412"/>
    <w:rsid w:val="002B2E03"/>
    <w:rsid w:val="002B6EA5"/>
    <w:rsid w:val="002C0E9F"/>
    <w:rsid w:val="002C281F"/>
    <w:rsid w:val="002C5A6A"/>
    <w:rsid w:val="002D4A30"/>
    <w:rsid w:val="002E03AA"/>
    <w:rsid w:val="002E3BED"/>
    <w:rsid w:val="002E7A82"/>
    <w:rsid w:val="002F3061"/>
    <w:rsid w:val="002F3CF8"/>
    <w:rsid w:val="002F497A"/>
    <w:rsid w:val="002F7B1D"/>
    <w:rsid w:val="00300BB4"/>
    <w:rsid w:val="00300FD9"/>
    <w:rsid w:val="00301C94"/>
    <w:rsid w:val="00306668"/>
    <w:rsid w:val="003103DF"/>
    <w:rsid w:val="00311100"/>
    <w:rsid w:val="00311ABD"/>
    <w:rsid w:val="003122D0"/>
    <w:rsid w:val="003127B5"/>
    <w:rsid w:val="003130DD"/>
    <w:rsid w:val="0031372E"/>
    <w:rsid w:val="00315574"/>
    <w:rsid w:val="00320B55"/>
    <w:rsid w:val="003232EB"/>
    <w:rsid w:val="00323399"/>
    <w:rsid w:val="0032366E"/>
    <w:rsid w:val="00323731"/>
    <w:rsid w:val="00326265"/>
    <w:rsid w:val="00332392"/>
    <w:rsid w:val="0033707D"/>
    <w:rsid w:val="00337891"/>
    <w:rsid w:val="00341BFA"/>
    <w:rsid w:val="0034272A"/>
    <w:rsid w:val="003447DA"/>
    <w:rsid w:val="0034512A"/>
    <w:rsid w:val="00346FB4"/>
    <w:rsid w:val="003557F0"/>
    <w:rsid w:val="0036023B"/>
    <w:rsid w:val="00360F0D"/>
    <w:rsid w:val="00361A06"/>
    <w:rsid w:val="00362E12"/>
    <w:rsid w:val="00363267"/>
    <w:rsid w:val="0036427C"/>
    <w:rsid w:val="00364511"/>
    <w:rsid w:val="00365C50"/>
    <w:rsid w:val="00367236"/>
    <w:rsid w:val="00370055"/>
    <w:rsid w:val="003706FD"/>
    <w:rsid w:val="00370E78"/>
    <w:rsid w:val="00370F52"/>
    <w:rsid w:val="003720EC"/>
    <w:rsid w:val="0037296A"/>
    <w:rsid w:val="00372DDA"/>
    <w:rsid w:val="00373228"/>
    <w:rsid w:val="003733D5"/>
    <w:rsid w:val="00375904"/>
    <w:rsid w:val="00376419"/>
    <w:rsid w:val="0037657B"/>
    <w:rsid w:val="003813FB"/>
    <w:rsid w:val="00381DD6"/>
    <w:rsid w:val="003851D3"/>
    <w:rsid w:val="00386927"/>
    <w:rsid w:val="00390E35"/>
    <w:rsid w:val="0039174F"/>
    <w:rsid w:val="003925EC"/>
    <w:rsid w:val="003925FB"/>
    <w:rsid w:val="003929E5"/>
    <w:rsid w:val="00395A70"/>
    <w:rsid w:val="00396BF6"/>
    <w:rsid w:val="00397445"/>
    <w:rsid w:val="003A03A2"/>
    <w:rsid w:val="003A04DC"/>
    <w:rsid w:val="003A08D0"/>
    <w:rsid w:val="003A12A9"/>
    <w:rsid w:val="003A2C6C"/>
    <w:rsid w:val="003A447D"/>
    <w:rsid w:val="003A637E"/>
    <w:rsid w:val="003A6BD2"/>
    <w:rsid w:val="003A7E38"/>
    <w:rsid w:val="003B00AF"/>
    <w:rsid w:val="003B0F5F"/>
    <w:rsid w:val="003B3F82"/>
    <w:rsid w:val="003B45F8"/>
    <w:rsid w:val="003B5F91"/>
    <w:rsid w:val="003C26AA"/>
    <w:rsid w:val="003C291D"/>
    <w:rsid w:val="003C48C5"/>
    <w:rsid w:val="003C66E5"/>
    <w:rsid w:val="003D1E99"/>
    <w:rsid w:val="003D3A37"/>
    <w:rsid w:val="003D3CAA"/>
    <w:rsid w:val="003D4E96"/>
    <w:rsid w:val="003D527F"/>
    <w:rsid w:val="003D6F8F"/>
    <w:rsid w:val="003E183B"/>
    <w:rsid w:val="003E2626"/>
    <w:rsid w:val="003E39C8"/>
    <w:rsid w:val="003E39E1"/>
    <w:rsid w:val="003E4405"/>
    <w:rsid w:val="003E46F0"/>
    <w:rsid w:val="003E50BC"/>
    <w:rsid w:val="003E50FC"/>
    <w:rsid w:val="003E56AB"/>
    <w:rsid w:val="003F3DC3"/>
    <w:rsid w:val="003F6785"/>
    <w:rsid w:val="003F6E50"/>
    <w:rsid w:val="00401CB5"/>
    <w:rsid w:val="00403F6E"/>
    <w:rsid w:val="004109A2"/>
    <w:rsid w:val="004113DD"/>
    <w:rsid w:val="0041229B"/>
    <w:rsid w:val="0041459A"/>
    <w:rsid w:val="00417299"/>
    <w:rsid w:val="00417659"/>
    <w:rsid w:val="00420E37"/>
    <w:rsid w:val="00426330"/>
    <w:rsid w:val="00426EB7"/>
    <w:rsid w:val="00427CC4"/>
    <w:rsid w:val="004304AE"/>
    <w:rsid w:val="00430D18"/>
    <w:rsid w:val="004316FD"/>
    <w:rsid w:val="00435609"/>
    <w:rsid w:val="004357B3"/>
    <w:rsid w:val="00440293"/>
    <w:rsid w:val="00441648"/>
    <w:rsid w:val="00442330"/>
    <w:rsid w:val="00443145"/>
    <w:rsid w:val="00444696"/>
    <w:rsid w:val="0044603A"/>
    <w:rsid w:val="00446B3E"/>
    <w:rsid w:val="00447BF6"/>
    <w:rsid w:val="00452149"/>
    <w:rsid w:val="004522B4"/>
    <w:rsid w:val="004522C8"/>
    <w:rsid w:val="00453ED8"/>
    <w:rsid w:val="00454BC7"/>
    <w:rsid w:val="00456362"/>
    <w:rsid w:val="004625E8"/>
    <w:rsid w:val="0046291E"/>
    <w:rsid w:val="00462EBD"/>
    <w:rsid w:val="0046358D"/>
    <w:rsid w:val="00465295"/>
    <w:rsid w:val="004672EC"/>
    <w:rsid w:val="00471611"/>
    <w:rsid w:val="00477A2E"/>
    <w:rsid w:val="00480B7A"/>
    <w:rsid w:val="004827C4"/>
    <w:rsid w:val="00484FAE"/>
    <w:rsid w:val="00485E6F"/>
    <w:rsid w:val="00491C5B"/>
    <w:rsid w:val="00491D25"/>
    <w:rsid w:val="00493E03"/>
    <w:rsid w:val="0049716A"/>
    <w:rsid w:val="004972EC"/>
    <w:rsid w:val="00497630"/>
    <w:rsid w:val="004A0B63"/>
    <w:rsid w:val="004A3BC5"/>
    <w:rsid w:val="004A449E"/>
    <w:rsid w:val="004A61C9"/>
    <w:rsid w:val="004A6F76"/>
    <w:rsid w:val="004B1F34"/>
    <w:rsid w:val="004B289F"/>
    <w:rsid w:val="004B35CE"/>
    <w:rsid w:val="004B3DE6"/>
    <w:rsid w:val="004B4DC4"/>
    <w:rsid w:val="004B5DC9"/>
    <w:rsid w:val="004B6E81"/>
    <w:rsid w:val="004B7A7F"/>
    <w:rsid w:val="004B7A9E"/>
    <w:rsid w:val="004C04CD"/>
    <w:rsid w:val="004C1A22"/>
    <w:rsid w:val="004C4FBF"/>
    <w:rsid w:val="004C6064"/>
    <w:rsid w:val="004D055F"/>
    <w:rsid w:val="004E110C"/>
    <w:rsid w:val="004E1290"/>
    <w:rsid w:val="004E7C99"/>
    <w:rsid w:val="004F1C3E"/>
    <w:rsid w:val="004F3226"/>
    <w:rsid w:val="004F349C"/>
    <w:rsid w:val="004F3E39"/>
    <w:rsid w:val="004F4F61"/>
    <w:rsid w:val="004F7674"/>
    <w:rsid w:val="004F7C61"/>
    <w:rsid w:val="00500122"/>
    <w:rsid w:val="00500DA6"/>
    <w:rsid w:val="00501090"/>
    <w:rsid w:val="00503EA9"/>
    <w:rsid w:val="00506308"/>
    <w:rsid w:val="00506B9A"/>
    <w:rsid w:val="00507786"/>
    <w:rsid w:val="00507C93"/>
    <w:rsid w:val="00514372"/>
    <w:rsid w:val="00521420"/>
    <w:rsid w:val="00522008"/>
    <w:rsid w:val="0052243C"/>
    <w:rsid w:val="00522B92"/>
    <w:rsid w:val="00523BBE"/>
    <w:rsid w:val="00523CDA"/>
    <w:rsid w:val="00524715"/>
    <w:rsid w:val="00526411"/>
    <w:rsid w:val="00531804"/>
    <w:rsid w:val="00540964"/>
    <w:rsid w:val="00543475"/>
    <w:rsid w:val="005457A3"/>
    <w:rsid w:val="00546759"/>
    <w:rsid w:val="00550503"/>
    <w:rsid w:val="00550B77"/>
    <w:rsid w:val="0055168C"/>
    <w:rsid w:val="00552861"/>
    <w:rsid w:val="005531C0"/>
    <w:rsid w:val="00564A10"/>
    <w:rsid w:val="005658EF"/>
    <w:rsid w:val="00565E23"/>
    <w:rsid w:val="00570EC7"/>
    <w:rsid w:val="0057447A"/>
    <w:rsid w:val="00575BF2"/>
    <w:rsid w:val="00575D10"/>
    <w:rsid w:val="0057611D"/>
    <w:rsid w:val="00577A85"/>
    <w:rsid w:val="00581BAC"/>
    <w:rsid w:val="005854E8"/>
    <w:rsid w:val="005868CC"/>
    <w:rsid w:val="00590AD9"/>
    <w:rsid w:val="00592E5F"/>
    <w:rsid w:val="0059378D"/>
    <w:rsid w:val="00593DBF"/>
    <w:rsid w:val="005949F2"/>
    <w:rsid w:val="00596282"/>
    <w:rsid w:val="00597357"/>
    <w:rsid w:val="00597F5E"/>
    <w:rsid w:val="005A0856"/>
    <w:rsid w:val="005A12C2"/>
    <w:rsid w:val="005A52FA"/>
    <w:rsid w:val="005A5EE0"/>
    <w:rsid w:val="005A5FFF"/>
    <w:rsid w:val="005A6470"/>
    <w:rsid w:val="005B2A50"/>
    <w:rsid w:val="005B3181"/>
    <w:rsid w:val="005B3A4E"/>
    <w:rsid w:val="005B6953"/>
    <w:rsid w:val="005C2BB0"/>
    <w:rsid w:val="005C76A1"/>
    <w:rsid w:val="005C7829"/>
    <w:rsid w:val="005D0A2C"/>
    <w:rsid w:val="005D5516"/>
    <w:rsid w:val="005D6B9C"/>
    <w:rsid w:val="005D7580"/>
    <w:rsid w:val="005E1010"/>
    <w:rsid w:val="005E26E1"/>
    <w:rsid w:val="005E5A8E"/>
    <w:rsid w:val="005E6D82"/>
    <w:rsid w:val="005F01E6"/>
    <w:rsid w:val="005F0A65"/>
    <w:rsid w:val="005F0F32"/>
    <w:rsid w:val="005F4A57"/>
    <w:rsid w:val="005F6265"/>
    <w:rsid w:val="005F6BF4"/>
    <w:rsid w:val="00601671"/>
    <w:rsid w:val="00602CE4"/>
    <w:rsid w:val="00605CAA"/>
    <w:rsid w:val="006070EA"/>
    <w:rsid w:val="00614F8D"/>
    <w:rsid w:val="0061500F"/>
    <w:rsid w:val="0061640E"/>
    <w:rsid w:val="0062137B"/>
    <w:rsid w:val="0062163E"/>
    <w:rsid w:val="00624986"/>
    <w:rsid w:val="00625F0E"/>
    <w:rsid w:val="006270F9"/>
    <w:rsid w:val="00632761"/>
    <w:rsid w:val="00634652"/>
    <w:rsid w:val="006356AA"/>
    <w:rsid w:val="00635CE7"/>
    <w:rsid w:val="006366ED"/>
    <w:rsid w:val="00640685"/>
    <w:rsid w:val="0064164F"/>
    <w:rsid w:val="00641757"/>
    <w:rsid w:val="00642FE1"/>
    <w:rsid w:val="00644441"/>
    <w:rsid w:val="00651B6B"/>
    <w:rsid w:val="00651EB1"/>
    <w:rsid w:val="006526A9"/>
    <w:rsid w:val="00653A13"/>
    <w:rsid w:val="00653A30"/>
    <w:rsid w:val="006544A0"/>
    <w:rsid w:val="00654CF0"/>
    <w:rsid w:val="00655F33"/>
    <w:rsid w:val="0065654E"/>
    <w:rsid w:val="00656982"/>
    <w:rsid w:val="00657E7C"/>
    <w:rsid w:val="00660939"/>
    <w:rsid w:val="00661C0A"/>
    <w:rsid w:val="0066336F"/>
    <w:rsid w:val="00663DF2"/>
    <w:rsid w:val="006656D4"/>
    <w:rsid w:val="00666497"/>
    <w:rsid w:val="00667ECC"/>
    <w:rsid w:val="00671767"/>
    <w:rsid w:val="0067481E"/>
    <w:rsid w:val="00674CF3"/>
    <w:rsid w:val="00681F9C"/>
    <w:rsid w:val="00682A95"/>
    <w:rsid w:val="00682B38"/>
    <w:rsid w:val="006851F9"/>
    <w:rsid w:val="00687BA6"/>
    <w:rsid w:val="0069307B"/>
    <w:rsid w:val="00695FEF"/>
    <w:rsid w:val="006972ED"/>
    <w:rsid w:val="006A2761"/>
    <w:rsid w:val="006A3A31"/>
    <w:rsid w:val="006A7174"/>
    <w:rsid w:val="006A7688"/>
    <w:rsid w:val="006B1881"/>
    <w:rsid w:val="006B1E13"/>
    <w:rsid w:val="006B2177"/>
    <w:rsid w:val="006B22C2"/>
    <w:rsid w:val="006B5F57"/>
    <w:rsid w:val="006B65CA"/>
    <w:rsid w:val="006B6F5F"/>
    <w:rsid w:val="006C3C3A"/>
    <w:rsid w:val="006C4FA3"/>
    <w:rsid w:val="006C4FE5"/>
    <w:rsid w:val="006C588F"/>
    <w:rsid w:val="006C6837"/>
    <w:rsid w:val="006C7E2F"/>
    <w:rsid w:val="006D4111"/>
    <w:rsid w:val="006F0B05"/>
    <w:rsid w:val="006F3EAD"/>
    <w:rsid w:val="006F40FC"/>
    <w:rsid w:val="00700C01"/>
    <w:rsid w:val="007031EA"/>
    <w:rsid w:val="00711AEC"/>
    <w:rsid w:val="007122D1"/>
    <w:rsid w:val="00720DA9"/>
    <w:rsid w:val="007211BB"/>
    <w:rsid w:val="00721B73"/>
    <w:rsid w:val="007248A8"/>
    <w:rsid w:val="00726149"/>
    <w:rsid w:val="00726CE4"/>
    <w:rsid w:val="00726F52"/>
    <w:rsid w:val="00730F3D"/>
    <w:rsid w:val="007315DD"/>
    <w:rsid w:val="007332FF"/>
    <w:rsid w:val="00737545"/>
    <w:rsid w:val="00737D11"/>
    <w:rsid w:val="007422D1"/>
    <w:rsid w:val="00745B18"/>
    <w:rsid w:val="007509D4"/>
    <w:rsid w:val="007539A3"/>
    <w:rsid w:val="00755474"/>
    <w:rsid w:val="00756D28"/>
    <w:rsid w:val="00757FA8"/>
    <w:rsid w:val="00760979"/>
    <w:rsid w:val="00761354"/>
    <w:rsid w:val="00764C11"/>
    <w:rsid w:val="00764F6A"/>
    <w:rsid w:val="00765E74"/>
    <w:rsid w:val="007715E8"/>
    <w:rsid w:val="00772614"/>
    <w:rsid w:val="00775163"/>
    <w:rsid w:val="00775640"/>
    <w:rsid w:val="007764D0"/>
    <w:rsid w:val="00777398"/>
    <w:rsid w:val="00777A8E"/>
    <w:rsid w:val="00777CA1"/>
    <w:rsid w:val="007801C9"/>
    <w:rsid w:val="007803F3"/>
    <w:rsid w:val="00782D73"/>
    <w:rsid w:val="00785517"/>
    <w:rsid w:val="007870D1"/>
    <w:rsid w:val="00787600"/>
    <w:rsid w:val="0079081E"/>
    <w:rsid w:val="00794153"/>
    <w:rsid w:val="007A239C"/>
    <w:rsid w:val="007A3A19"/>
    <w:rsid w:val="007A43ED"/>
    <w:rsid w:val="007A46F8"/>
    <w:rsid w:val="007A5846"/>
    <w:rsid w:val="007A7EBA"/>
    <w:rsid w:val="007B17C6"/>
    <w:rsid w:val="007B6945"/>
    <w:rsid w:val="007B6D8F"/>
    <w:rsid w:val="007C0CB7"/>
    <w:rsid w:val="007C17DC"/>
    <w:rsid w:val="007C44FE"/>
    <w:rsid w:val="007C586A"/>
    <w:rsid w:val="007C59A6"/>
    <w:rsid w:val="007C5EE5"/>
    <w:rsid w:val="007C623B"/>
    <w:rsid w:val="007C640A"/>
    <w:rsid w:val="007D15F0"/>
    <w:rsid w:val="007D7589"/>
    <w:rsid w:val="007E168C"/>
    <w:rsid w:val="007E2F28"/>
    <w:rsid w:val="007E3268"/>
    <w:rsid w:val="007E3960"/>
    <w:rsid w:val="007E6BB9"/>
    <w:rsid w:val="007E6FB3"/>
    <w:rsid w:val="007F3565"/>
    <w:rsid w:val="007F42C7"/>
    <w:rsid w:val="007F4A6E"/>
    <w:rsid w:val="00804325"/>
    <w:rsid w:val="00805F4E"/>
    <w:rsid w:val="008073D4"/>
    <w:rsid w:val="00807404"/>
    <w:rsid w:val="0080788D"/>
    <w:rsid w:val="00810BA1"/>
    <w:rsid w:val="00811874"/>
    <w:rsid w:val="00811CE7"/>
    <w:rsid w:val="008132BB"/>
    <w:rsid w:val="00815C03"/>
    <w:rsid w:val="0081731A"/>
    <w:rsid w:val="008177E7"/>
    <w:rsid w:val="00823CDD"/>
    <w:rsid w:val="00823F17"/>
    <w:rsid w:val="00823F5A"/>
    <w:rsid w:val="0082443D"/>
    <w:rsid w:val="0083153A"/>
    <w:rsid w:val="00831EC1"/>
    <w:rsid w:val="00836AAF"/>
    <w:rsid w:val="00837A84"/>
    <w:rsid w:val="00837AA7"/>
    <w:rsid w:val="00841433"/>
    <w:rsid w:val="0084343C"/>
    <w:rsid w:val="00846A84"/>
    <w:rsid w:val="00852334"/>
    <w:rsid w:val="00856285"/>
    <w:rsid w:val="00857730"/>
    <w:rsid w:val="00862A1D"/>
    <w:rsid w:val="00864703"/>
    <w:rsid w:val="00864D34"/>
    <w:rsid w:val="00865781"/>
    <w:rsid w:val="008719CB"/>
    <w:rsid w:val="0087280A"/>
    <w:rsid w:val="008738AB"/>
    <w:rsid w:val="0087406C"/>
    <w:rsid w:val="0087494D"/>
    <w:rsid w:val="00875C79"/>
    <w:rsid w:val="00875E6D"/>
    <w:rsid w:val="00881153"/>
    <w:rsid w:val="0088331A"/>
    <w:rsid w:val="00890504"/>
    <w:rsid w:val="0089154B"/>
    <w:rsid w:val="0089315C"/>
    <w:rsid w:val="00894C9C"/>
    <w:rsid w:val="00896FB6"/>
    <w:rsid w:val="008A1C93"/>
    <w:rsid w:val="008A500A"/>
    <w:rsid w:val="008B364B"/>
    <w:rsid w:val="008B5042"/>
    <w:rsid w:val="008B5FCB"/>
    <w:rsid w:val="008B61C2"/>
    <w:rsid w:val="008B7339"/>
    <w:rsid w:val="008B7ADF"/>
    <w:rsid w:val="008C3643"/>
    <w:rsid w:val="008C4AE5"/>
    <w:rsid w:val="008C721F"/>
    <w:rsid w:val="008D08D9"/>
    <w:rsid w:val="008D5336"/>
    <w:rsid w:val="008D5AD1"/>
    <w:rsid w:val="008D607F"/>
    <w:rsid w:val="008D6102"/>
    <w:rsid w:val="008D62C7"/>
    <w:rsid w:val="008D70F9"/>
    <w:rsid w:val="008E12C1"/>
    <w:rsid w:val="008E166D"/>
    <w:rsid w:val="008E16EF"/>
    <w:rsid w:val="008E210F"/>
    <w:rsid w:val="008E4DF0"/>
    <w:rsid w:val="008E526A"/>
    <w:rsid w:val="008E5B85"/>
    <w:rsid w:val="008F1457"/>
    <w:rsid w:val="008F162A"/>
    <w:rsid w:val="008F5504"/>
    <w:rsid w:val="00904E22"/>
    <w:rsid w:val="00905BA1"/>
    <w:rsid w:val="00913E50"/>
    <w:rsid w:val="0091403A"/>
    <w:rsid w:val="009144AC"/>
    <w:rsid w:val="00914E39"/>
    <w:rsid w:val="0091557F"/>
    <w:rsid w:val="00915ED0"/>
    <w:rsid w:val="00916BD0"/>
    <w:rsid w:val="0092058F"/>
    <w:rsid w:val="00920E28"/>
    <w:rsid w:val="0092109F"/>
    <w:rsid w:val="009231E6"/>
    <w:rsid w:val="0092579F"/>
    <w:rsid w:val="009271EC"/>
    <w:rsid w:val="00931760"/>
    <w:rsid w:val="009331C5"/>
    <w:rsid w:val="00933389"/>
    <w:rsid w:val="009406C2"/>
    <w:rsid w:val="00941171"/>
    <w:rsid w:val="00941969"/>
    <w:rsid w:val="00942727"/>
    <w:rsid w:val="009469E5"/>
    <w:rsid w:val="0094717A"/>
    <w:rsid w:val="009479DB"/>
    <w:rsid w:val="009513E6"/>
    <w:rsid w:val="009521FE"/>
    <w:rsid w:val="00953686"/>
    <w:rsid w:val="009540C4"/>
    <w:rsid w:val="009629D4"/>
    <w:rsid w:val="00963C93"/>
    <w:rsid w:val="009640EC"/>
    <w:rsid w:val="00964A52"/>
    <w:rsid w:val="009670CB"/>
    <w:rsid w:val="009677CC"/>
    <w:rsid w:val="009711B2"/>
    <w:rsid w:val="00971623"/>
    <w:rsid w:val="009727A0"/>
    <w:rsid w:val="00972C86"/>
    <w:rsid w:val="009732B4"/>
    <w:rsid w:val="00974A81"/>
    <w:rsid w:val="00974FC9"/>
    <w:rsid w:val="0097570A"/>
    <w:rsid w:val="009828A4"/>
    <w:rsid w:val="00983D49"/>
    <w:rsid w:val="00984CD6"/>
    <w:rsid w:val="009857B1"/>
    <w:rsid w:val="00985895"/>
    <w:rsid w:val="00987A53"/>
    <w:rsid w:val="00990B57"/>
    <w:rsid w:val="00993F99"/>
    <w:rsid w:val="009A0986"/>
    <w:rsid w:val="009A10BF"/>
    <w:rsid w:val="009A45C8"/>
    <w:rsid w:val="009A59C7"/>
    <w:rsid w:val="009A60B0"/>
    <w:rsid w:val="009A7E67"/>
    <w:rsid w:val="009B1F15"/>
    <w:rsid w:val="009B30CF"/>
    <w:rsid w:val="009B3782"/>
    <w:rsid w:val="009B6741"/>
    <w:rsid w:val="009C130B"/>
    <w:rsid w:val="009C1EA5"/>
    <w:rsid w:val="009C37C0"/>
    <w:rsid w:val="009C447C"/>
    <w:rsid w:val="009C5EF4"/>
    <w:rsid w:val="009D5762"/>
    <w:rsid w:val="009D5DAA"/>
    <w:rsid w:val="009D6899"/>
    <w:rsid w:val="009D79C1"/>
    <w:rsid w:val="009D7FCC"/>
    <w:rsid w:val="009E08FB"/>
    <w:rsid w:val="009E10AB"/>
    <w:rsid w:val="009E18C4"/>
    <w:rsid w:val="009E26CF"/>
    <w:rsid w:val="009E2F21"/>
    <w:rsid w:val="009E59B0"/>
    <w:rsid w:val="009F4063"/>
    <w:rsid w:val="009F4DC5"/>
    <w:rsid w:val="009F5FE7"/>
    <w:rsid w:val="009F63DE"/>
    <w:rsid w:val="009F7181"/>
    <w:rsid w:val="009F7A4D"/>
    <w:rsid w:val="00A01520"/>
    <w:rsid w:val="00A01CBE"/>
    <w:rsid w:val="00A02E22"/>
    <w:rsid w:val="00A11758"/>
    <w:rsid w:val="00A131E8"/>
    <w:rsid w:val="00A13C0D"/>
    <w:rsid w:val="00A14149"/>
    <w:rsid w:val="00A142C9"/>
    <w:rsid w:val="00A14979"/>
    <w:rsid w:val="00A15312"/>
    <w:rsid w:val="00A15DA7"/>
    <w:rsid w:val="00A20F48"/>
    <w:rsid w:val="00A22010"/>
    <w:rsid w:val="00A26FC1"/>
    <w:rsid w:val="00A3398D"/>
    <w:rsid w:val="00A34603"/>
    <w:rsid w:val="00A36862"/>
    <w:rsid w:val="00A432AF"/>
    <w:rsid w:val="00A43D57"/>
    <w:rsid w:val="00A44CF2"/>
    <w:rsid w:val="00A45A87"/>
    <w:rsid w:val="00A45E59"/>
    <w:rsid w:val="00A45E80"/>
    <w:rsid w:val="00A50A8E"/>
    <w:rsid w:val="00A56BA7"/>
    <w:rsid w:val="00A577F6"/>
    <w:rsid w:val="00A57AD0"/>
    <w:rsid w:val="00A676AA"/>
    <w:rsid w:val="00A679E5"/>
    <w:rsid w:val="00A7165E"/>
    <w:rsid w:val="00A718FE"/>
    <w:rsid w:val="00A7250A"/>
    <w:rsid w:val="00A73BCC"/>
    <w:rsid w:val="00A760C8"/>
    <w:rsid w:val="00A772F6"/>
    <w:rsid w:val="00A80298"/>
    <w:rsid w:val="00A806B7"/>
    <w:rsid w:val="00A80F6A"/>
    <w:rsid w:val="00A82A65"/>
    <w:rsid w:val="00A8503E"/>
    <w:rsid w:val="00A850E0"/>
    <w:rsid w:val="00A86014"/>
    <w:rsid w:val="00A910EE"/>
    <w:rsid w:val="00A94D03"/>
    <w:rsid w:val="00A96B89"/>
    <w:rsid w:val="00A96D19"/>
    <w:rsid w:val="00AA0F15"/>
    <w:rsid w:val="00AA579D"/>
    <w:rsid w:val="00AA764D"/>
    <w:rsid w:val="00AA7BD6"/>
    <w:rsid w:val="00AB0FD7"/>
    <w:rsid w:val="00AB4560"/>
    <w:rsid w:val="00AC0DDC"/>
    <w:rsid w:val="00AC1625"/>
    <w:rsid w:val="00AC3648"/>
    <w:rsid w:val="00AC6B2C"/>
    <w:rsid w:val="00AC747D"/>
    <w:rsid w:val="00AD0867"/>
    <w:rsid w:val="00AD1AEC"/>
    <w:rsid w:val="00AD2AF1"/>
    <w:rsid w:val="00AD67F5"/>
    <w:rsid w:val="00AE00E6"/>
    <w:rsid w:val="00AE18C7"/>
    <w:rsid w:val="00AE5A90"/>
    <w:rsid w:val="00AE5D22"/>
    <w:rsid w:val="00AE77C3"/>
    <w:rsid w:val="00AF2549"/>
    <w:rsid w:val="00B01A00"/>
    <w:rsid w:val="00B02F00"/>
    <w:rsid w:val="00B0580E"/>
    <w:rsid w:val="00B107A7"/>
    <w:rsid w:val="00B10EBE"/>
    <w:rsid w:val="00B11BB3"/>
    <w:rsid w:val="00B12AE7"/>
    <w:rsid w:val="00B139B3"/>
    <w:rsid w:val="00B14F49"/>
    <w:rsid w:val="00B16BC2"/>
    <w:rsid w:val="00B238D0"/>
    <w:rsid w:val="00B25422"/>
    <w:rsid w:val="00B25F02"/>
    <w:rsid w:val="00B2626E"/>
    <w:rsid w:val="00B30629"/>
    <w:rsid w:val="00B31F36"/>
    <w:rsid w:val="00B32FC4"/>
    <w:rsid w:val="00B3359F"/>
    <w:rsid w:val="00B3505D"/>
    <w:rsid w:val="00B3773E"/>
    <w:rsid w:val="00B42A1E"/>
    <w:rsid w:val="00B43D1D"/>
    <w:rsid w:val="00B518AD"/>
    <w:rsid w:val="00B52CDA"/>
    <w:rsid w:val="00B531DC"/>
    <w:rsid w:val="00B54A7E"/>
    <w:rsid w:val="00B5561B"/>
    <w:rsid w:val="00B60455"/>
    <w:rsid w:val="00B60787"/>
    <w:rsid w:val="00B62A17"/>
    <w:rsid w:val="00B63739"/>
    <w:rsid w:val="00B63ED0"/>
    <w:rsid w:val="00B64E02"/>
    <w:rsid w:val="00B655FB"/>
    <w:rsid w:val="00B65677"/>
    <w:rsid w:val="00B67893"/>
    <w:rsid w:val="00B766F9"/>
    <w:rsid w:val="00B76EDE"/>
    <w:rsid w:val="00B80114"/>
    <w:rsid w:val="00B8112B"/>
    <w:rsid w:val="00B82076"/>
    <w:rsid w:val="00B83F6C"/>
    <w:rsid w:val="00B84589"/>
    <w:rsid w:val="00B846A6"/>
    <w:rsid w:val="00B85222"/>
    <w:rsid w:val="00B8660A"/>
    <w:rsid w:val="00B866F0"/>
    <w:rsid w:val="00B90113"/>
    <w:rsid w:val="00B91F01"/>
    <w:rsid w:val="00B92A8C"/>
    <w:rsid w:val="00B936F7"/>
    <w:rsid w:val="00B93F45"/>
    <w:rsid w:val="00BA0F97"/>
    <w:rsid w:val="00BA211B"/>
    <w:rsid w:val="00BA5FF4"/>
    <w:rsid w:val="00BB0D14"/>
    <w:rsid w:val="00BB23DC"/>
    <w:rsid w:val="00BB2F83"/>
    <w:rsid w:val="00BB4A71"/>
    <w:rsid w:val="00BC1857"/>
    <w:rsid w:val="00BC1A4E"/>
    <w:rsid w:val="00BC20FD"/>
    <w:rsid w:val="00BC27C2"/>
    <w:rsid w:val="00BC42E8"/>
    <w:rsid w:val="00BC44A4"/>
    <w:rsid w:val="00BD1990"/>
    <w:rsid w:val="00BD7C22"/>
    <w:rsid w:val="00BE4143"/>
    <w:rsid w:val="00BE7088"/>
    <w:rsid w:val="00BE7805"/>
    <w:rsid w:val="00BF149F"/>
    <w:rsid w:val="00BF3B1A"/>
    <w:rsid w:val="00BF6C43"/>
    <w:rsid w:val="00BF761E"/>
    <w:rsid w:val="00C01E04"/>
    <w:rsid w:val="00C02113"/>
    <w:rsid w:val="00C03996"/>
    <w:rsid w:val="00C06322"/>
    <w:rsid w:val="00C06B8E"/>
    <w:rsid w:val="00C07356"/>
    <w:rsid w:val="00C114E8"/>
    <w:rsid w:val="00C11E13"/>
    <w:rsid w:val="00C11FED"/>
    <w:rsid w:val="00C12287"/>
    <w:rsid w:val="00C12633"/>
    <w:rsid w:val="00C128D5"/>
    <w:rsid w:val="00C16273"/>
    <w:rsid w:val="00C16DDF"/>
    <w:rsid w:val="00C2086A"/>
    <w:rsid w:val="00C22E43"/>
    <w:rsid w:val="00C25036"/>
    <w:rsid w:val="00C25938"/>
    <w:rsid w:val="00C25F58"/>
    <w:rsid w:val="00C27807"/>
    <w:rsid w:val="00C30B8C"/>
    <w:rsid w:val="00C30BF2"/>
    <w:rsid w:val="00C32E97"/>
    <w:rsid w:val="00C33E59"/>
    <w:rsid w:val="00C33ED2"/>
    <w:rsid w:val="00C347F0"/>
    <w:rsid w:val="00C37DF9"/>
    <w:rsid w:val="00C40799"/>
    <w:rsid w:val="00C435D1"/>
    <w:rsid w:val="00C44FCE"/>
    <w:rsid w:val="00C45363"/>
    <w:rsid w:val="00C46B5A"/>
    <w:rsid w:val="00C50DFF"/>
    <w:rsid w:val="00C535F9"/>
    <w:rsid w:val="00C55B5E"/>
    <w:rsid w:val="00C56A4E"/>
    <w:rsid w:val="00C6132B"/>
    <w:rsid w:val="00C61F6A"/>
    <w:rsid w:val="00C61F6E"/>
    <w:rsid w:val="00C62918"/>
    <w:rsid w:val="00C635D6"/>
    <w:rsid w:val="00C65972"/>
    <w:rsid w:val="00C663E4"/>
    <w:rsid w:val="00C6723F"/>
    <w:rsid w:val="00C67A5E"/>
    <w:rsid w:val="00C70B45"/>
    <w:rsid w:val="00C72838"/>
    <w:rsid w:val="00C73A3E"/>
    <w:rsid w:val="00C73FE7"/>
    <w:rsid w:val="00C76A20"/>
    <w:rsid w:val="00C76F51"/>
    <w:rsid w:val="00C867FF"/>
    <w:rsid w:val="00C86A05"/>
    <w:rsid w:val="00C87CE6"/>
    <w:rsid w:val="00C91B33"/>
    <w:rsid w:val="00C921C8"/>
    <w:rsid w:val="00C9267A"/>
    <w:rsid w:val="00C92EBF"/>
    <w:rsid w:val="00C93C90"/>
    <w:rsid w:val="00C944DA"/>
    <w:rsid w:val="00CA3A40"/>
    <w:rsid w:val="00CA4630"/>
    <w:rsid w:val="00CA6595"/>
    <w:rsid w:val="00CA6682"/>
    <w:rsid w:val="00CB1C33"/>
    <w:rsid w:val="00CB40C4"/>
    <w:rsid w:val="00CB460B"/>
    <w:rsid w:val="00CB621C"/>
    <w:rsid w:val="00CC21B0"/>
    <w:rsid w:val="00CC2A3C"/>
    <w:rsid w:val="00CD2D1D"/>
    <w:rsid w:val="00CD5F94"/>
    <w:rsid w:val="00CE0255"/>
    <w:rsid w:val="00CE18D8"/>
    <w:rsid w:val="00CE2AA2"/>
    <w:rsid w:val="00CE33AE"/>
    <w:rsid w:val="00CE3BE3"/>
    <w:rsid w:val="00CE4469"/>
    <w:rsid w:val="00CE46EF"/>
    <w:rsid w:val="00CF05E5"/>
    <w:rsid w:val="00CF11BD"/>
    <w:rsid w:val="00CF3FB9"/>
    <w:rsid w:val="00CF5257"/>
    <w:rsid w:val="00CF5F2E"/>
    <w:rsid w:val="00CF6165"/>
    <w:rsid w:val="00CF6CBA"/>
    <w:rsid w:val="00CF7EA2"/>
    <w:rsid w:val="00D0044D"/>
    <w:rsid w:val="00D01008"/>
    <w:rsid w:val="00D0224D"/>
    <w:rsid w:val="00D02785"/>
    <w:rsid w:val="00D02826"/>
    <w:rsid w:val="00D034DB"/>
    <w:rsid w:val="00D100A5"/>
    <w:rsid w:val="00D17AB6"/>
    <w:rsid w:val="00D200C6"/>
    <w:rsid w:val="00D20C37"/>
    <w:rsid w:val="00D23CD6"/>
    <w:rsid w:val="00D25BB2"/>
    <w:rsid w:val="00D32A39"/>
    <w:rsid w:val="00D3313C"/>
    <w:rsid w:val="00D35B35"/>
    <w:rsid w:val="00D3798F"/>
    <w:rsid w:val="00D431E8"/>
    <w:rsid w:val="00D46A7B"/>
    <w:rsid w:val="00D52703"/>
    <w:rsid w:val="00D542BA"/>
    <w:rsid w:val="00D5506F"/>
    <w:rsid w:val="00D564EE"/>
    <w:rsid w:val="00D60368"/>
    <w:rsid w:val="00D64936"/>
    <w:rsid w:val="00D64F1A"/>
    <w:rsid w:val="00D66A72"/>
    <w:rsid w:val="00D713DC"/>
    <w:rsid w:val="00D72F4D"/>
    <w:rsid w:val="00D736AC"/>
    <w:rsid w:val="00D7671D"/>
    <w:rsid w:val="00D76C99"/>
    <w:rsid w:val="00D77A08"/>
    <w:rsid w:val="00D81413"/>
    <w:rsid w:val="00D8315A"/>
    <w:rsid w:val="00D85F8F"/>
    <w:rsid w:val="00D860A8"/>
    <w:rsid w:val="00D87E57"/>
    <w:rsid w:val="00D87EFA"/>
    <w:rsid w:val="00D954FC"/>
    <w:rsid w:val="00DA1BA5"/>
    <w:rsid w:val="00DA580C"/>
    <w:rsid w:val="00DA5C13"/>
    <w:rsid w:val="00DA5CAA"/>
    <w:rsid w:val="00DA5D90"/>
    <w:rsid w:val="00DA6C29"/>
    <w:rsid w:val="00DA6E8D"/>
    <w:rsid w:val="00DA7222"/>
    <w:rsid w:val="00DA761F"/>
    <w:rsid w:val="00DB0CD1"/>
    <w:rsid w:val="00DB15EA"/>
    <w:rsid w:val="00DB2FF6"/>
    <w:rsid w:val="00DB4343"/>
    <w:rsid w:val="00DB6260"/>
    <w:rsid w:val="00DC134B"/>
    <w:rsid w:val="00DC3BF6"/>
    <w:rsid w:val="00DC6DD2"/>
    <w:rsid w:val="00DD15D1"/>
    <w:rsid w:val="00DD2575"/>
    <w:rsid w:val="00DD3185"/>
    <w:rsid w:val="00DD7E12"/>
    <w:rsid w:val="00DE0CF4"/>
    <w:rsid w:val="00DE0E63"/>
    <w:rsid w:val="00DE3DC6"/>
    <w:rsid w:val="00DE41A9"/>
    <w:rsid w:val="00DE4819"/>
    <w:rsid w:val="00DF594E"/>
    <w:rsid w:val="00DF5F8A"/>
    <w:rsid w:val="00DF6BA3"/>
    <w:rsid w:val="00DF7B1D"/>
    <w:rsid w:val="00E00756"/>
    <w:rsid w:val="00E04622"/>
    <w:rsid w:val="00E0553E"/>
    <w:rsid w:val="00E062DB"/>
    <w:rsid w:val="00E06486"/>
    <w:rsid w:val="00E101FB"/>
    <w:rsid w:val="00E2064E"/>
    <w:rsid w:val="00E22246"/>
    <w:rsid w:val="00E2359B"/>
    <w:rsid w:val="00E24230"/>
    <w:rsid w:val="00E26A69"/>
    <w:rsid w:val="00E3006E"/>
    <w:rsid w:val="00E3107A"/>
    <w:rsid w:val="00E32BC9"/>
    <w:rsid w:val="00E35388"/>
    <w:rsid w:val="00E366F4"/>
    <w:rsid w:val="00E40CE6"/>
    <w:rsid w:val="00E41662"/>
    <w:rsid w:val="00E41861"/>
    <w:rsid w:val="00E421D7"/>
    <w:rsid w:val="00E43757"/>
    <w:rsid w:val="00E43E07"/>
    <w:rsid w:val="00E454FE"/>
    <w:rsid w:val="00E46464"/>
    <w:rsid w:val="00E5259D"/>
    <w:rsid w:val="00E54AB4"/>
    <w:rsid w:val="00E572F8"/>
    <w:rsid w:val="00E57AFA"/>
    <w:rsid w:val="00E57DD3"/>
    <w:rsid w:val="00E63FB0"/>
    <w:rsid w:val="00E6479A"/>
    <w:rsid w:val="00E64E04"/>
    <w:rsid w:val="00E66D45"/>
    <w:rsid w:val="00E67F27"/>
    <w:rsid w:val="00E7021D"/>
    <w:rsid w:val="00E703A1"/>
    <w:rsid w:val="00E74F4F"/>
    <w:rsid w:val="00E75E18"/>
    <w:rsid w:val="00E770AD"/>
    <w:rsid w:val="00E80717"/>
    <w:rsid w:val="00E84179"/>
    <w:rsid w:val="00E85410"/>
    <w:rsid w:val="00E86F20"/>
    <w:rsid w:val="00E913F3"/>
    <w:rsid w:val="00E95BDA"/>
    <w:rsid w:val="00EA05E3"/>
    <w:rsid w:val="00EA4368"/>
    <w:rsid w:val="00EA5AD9"/>
    <w:rsid w:val="00EB1658"/>
    <w:rsid w:val="00EB38C5"/>
    <w:rsid w:val="00EB395C"/>
    <w:rsid w:val="00EB4A9B"/>
    <w:rsid w:val="00EB60BD"/>
    <w:rsid w:val="00EB6F95"/>
    <w:rsid w:val="00EC4E95"/>
    <w:rsid w:val="00EC582D"/>
    <w:rsid w:val="00EC6E2F"/>
    <w:rsid w:val="00EC7B03"/>
    <w:rsid w:val="00ED2066"/>
    <w:rsid w:val="00ED2DC6"/>
    <w:rsid w:val="00ED34E5"/>
    <w:rsid w:val="00ED623D"/>
    <w:rsid w:val="00ED6426"/>
    <w:rsid w:val="00ED76B8"/>
    <w:rsid w:val="00EF07FE"/>
    <w:rsid w:val="00EF0A7A"/>
    <w:rsid w:val="00EF100A"/>
    <w:rsid w:val="00EF164D"/>
    <w:rsid w:val="00EF19EA"/>
    <w:rsid w:val="00EF1F0F"/>
    <w:rsid w:val="00EF1F97"/>
    <w:rsid w:val="00EF74A8"/>
    <w:rsid w:val="00F003FB"/>
    <w:rsid w:val="00F00A7A"/>
    <w:rsid w:val="00F04F30"/>
    <w:rsid w:val="00F139D7"/>
    <w:rsid w:val="00F161F4"/>
    <w:rsid w:val="00F16CC1"/>
    <w:rsid w:val="00F224F9"/>
    <w:rsid w:val="00F2707F"/>
    <w:rsid w:val="00F32283"/>
    <w:rsid w:val="00F32B1D"/>
    <w:rsid w:val="00F32FB0"/>
    <w:rsid w:val="00F330A3"/>
    <w:rsid w:val="00F34C75"/>
    <w:rsid w:val="00F35690"/>
    <w:rsid w:val="00F4033D"/>
    <w:rsid w:val="00F4500D"/>
    <w:rsid w:val="00F45CDA"/>
    <w:rsid w:val="00F512BD"/>
    <w:rsid w:val="00F536D1"/>
    <w:rsid w:val="00F55D95"/>
    <w:rsid w:val="00F60CF8"/>
    <w:rsid w:val="00F6102B"/>
    <w:rsid w:val="00F65542"/>
    <w:rsid w:val="00F670CB"/>
    <w:rsid w:val="00F67573"/>
    <w:rsid w:val="00F717BE"/>
    <w:rsid w:val="00F76DBA"/>
    <w:rsid w:val="00F77EA7"/>
    <w:rsid w:val="00F81B51"/>
    <w:rsid w:val="00F845ED"/>
    <w:rsid w:val="00F85878"/>
    <w:rsid w:val="00F85B3B"/>
    <w:rsid w:val="00F86C5D"/>
    <w:rsid w:val="00F87147"/>
    <w:rsid w:val="00F874A7"/>
    <w:rsid w:val="00F906FA"/>
    <w:rsid w:val="00F90735"/>
    <w:rsid w:val="00F908C7"/>
    <w:rsid w:val="00F92E09"/>
    <w:rsid w:val="00FA0CC0"/>
    <w:rsid w:val="00FA3248"/>
    <w:rsid w:val="00FA35CA"/>
    <w:rsid w:val="00FB2E39"/>
    <w:rsid w:val="00FB4013"/>
    <w:rsid w:val="00FB43FD"/>
    <w:rsid w:val="00FC2319"/>
    <w:rsid w:val="00FC4DCD"/>
    <w:rsid w:val="00FC530C"/>
    <w:rsid w:val="00FD3110"/>
    <w:rsid w:val="00FD4814"/>
    <w:rsid w:val="00FE02B0"/>
    <w:rsid w:val="00FE1350"/>
    <w:rsid w:val="00FE20C9"/>
    <w:rsid w:val="00FE435A"/>
    <w:rsid w:val="00FE46A9"/>
    <w:rsid w:val="00FE53B2"/>
    <w:rsid w:val="00FE59C3"/>
    <w:rsid w:val="00FE697B"/>
    <w:rsid w:val="00FE73A4"/>
    <w:rsid w:val="00FF073E"/>
    <w:rsid w:val="00FF202F"/>
    <w:rsid w:val="00FF413A"/>
    <w:rsid w:val="16BF55F7"/>
    <w:rsid w:val="1B552D5E"/>
    <w:rsid w:val="1DACCA06"/>
    <w:rsid w:val="1ECB20A3"/>
    <w:rsid w:val="1EFF13A4"/>
    <w:rsid w:val="1F9C9F9E"/>
    <w:rsid w:val="1FF65FE0"/>
    <w:rsid w:val="26F31120"/>
    <w:rsid w:val="2BFB704C"/>
    <w:rsid w:val="2C2F78A3"/>
    <w:rsid w:val="2FFFA4F3"/>
    <w:rsid w:val="326804AC"/>
    <w:rsid w:val="37D53241"/>
    <w:rsid w:val="37EFBB03"/>
    <w:rsid w:val="3ACEFA65"/>
    <w:rsid w:val="3BF72C61"/>
    <w:rsid w:val="3D637C35"/>
    <w:rsid w:val="3DF4BF69"/>
    <w:rsid w:val="3DFD3051"/>
    <w:rsid w:val="3DFFD56A"/>
    <w:rsid w:val="3EF77D43"/>
    <w:rsid w:val="3F798882"/>
    <w:rsid w:val="42FEED7A"/>
    <w:rsid w:val="471E42F9"/>
    <w:rsid w:val="4BC7CF4D"/>
    <w:rsid w:val="4BFC0AB8"/>
    <w:rsid w:val="4E5D070C"/>
    <w:rsid w:val="4E6FD292"/>
    <w:rsid w:val="4FF52072"/>
    <w:rsid w:val="4FFE069B"/>
    <w:rsid w:val="54FFAA53"/>
    <w:rsid w:val="56BECFA4"/>
    <w:rsid w:val="57F03038"/>
    <w:rsid w:val="599F60EF"/>
    <w:rsid w:val="5BB71273"/>
    <w:rsid w:val="5DBDC9EB"/>
    <w:rsid w:val="5DFE3545"/>
    <w:rsid w:val="5DFF9860"/>
    <w:rsid w:val="5E5F67CF"/>
    <w:rsid w:val="5E7ED30B"/>
    <w:rsid w:val="5ED90481"/>
    <w:rsid w:val="5EEFA1D7"/>
    <w:rsid w:val="5F0E5849"/>
    <w:rsid w:val="5FD729DD"/>
    <w:rsid w:val="5FF1A997"/>
    <w:rsid w:val="5FF38264"/>
    <w:rsid w:val="5FF9D9A2"/>
    <w:rsid w:val="5FFD29B1"/>
    <w:rsid w:val="5FFF2139"/>
    <w:rsid w:val="5FFF5719"/>
    <w:rsid w:val="61EC39E1"/>
    <w:rsid w:val="637B9133"/>
    <w:rsid w:val="67CFFE4B"/>
    <w:rsid w:val="6ABEAD59"/>
    <w:rsid w:val="6AF76EE0"/>
    <w:rsid w:val="6B77B260"/>
    <w:rsid w:val="6BAACD6D"/>
    <w:rsid w:val="6BCB304A"/>
    <w:rsid w:val="6BFE9AA6"/>
    <w:rsid w:val="6DFF6519"/>
    <w:rsid w:val="6ED79F69"/>
    <w:rsid w:val="6EFDC130"/>
    <w:rsid w:val="6F7E9FD2"/>
    <w:rsid w:val="6F7FEA3B"/>
    <w:rsid w:val="6FB337CF"/>
    <w:rsid w:val="6FCB05A4"/>
    <w:rsid w:val="6FD78D3E"/>
    <w:rsid w:val="716F4727"/>
    <w:rsid w:val="75D67D85"/>
    <w:rsid w:val="763B428B"/>
    <w:rsid w:val="76DBD909"/>
    <w:rsid w:val="77AE8543"/>
    <w:rsid w:val="77B76D4E"/>
    <w:rsid w:val="77EBEDC5"/>
    <w:rsid w:val="77F90404"/>
    <w:rsid w:val="79D5C9BA"/>
    <w:rsid w:val="7AEB4129"/>
    <w:rsid w:val="7AFDD9A2"/>
    <w:rsid w:val="7B49A1F5"/>
    <w:rsid w:val="7B6F2545"/>
    <w:rsid w:val="7B77F3DF"/>
    <w:rsid w:val="7BAF350D"/>
    <w:rsid w:val="7BAFC8C1"/>
    <w:rsid w:val="7BCF0532"/>
    <w:rsid w:val="7BEFBB12"/>
    <w:rsid w:val="7CBF5D43"/>
    <w:rsid w:val="7CCAAF4D"/>
    <w:rsid w:val="7CFBC9CE"/>
    <w:rsid w:val="7DA9B1C3"/>
    <w:rsid w:val="7DBF84EB"/>
    <w:rsid w:val="7DE82C61"/>
    <w:rsid w:val="7DEF95C1"/>
    <w:rsid w:val="7DEF9CD5"/>
    <w:rsid w:val="7DFEC4CE"/>
    <w:rsid w:val="7DFF28B6"/>
    <w:rsid w:val="7EFBE0B1"/>
    <w:rsid w:val="7F7A4467"/>
    <w:rsid w:val="7F9F5FFB"/>
    <w:rsid w:val="7FB3ACFE"/>
    <w:rsid w:val="7FBB8553"/>
    <w:rsid w:val="7FE91556"/>
    <w:rsid w:val="7FEF9B2F"/>
    <w:rsid w:val="7FF63998"/>
    <w:rsid w:val="7FF72A91"/>
    <w:rsid w:val="7FFD9565"/>
    <w:rsid w:val="7FFDF281"/>
    <w:rsid w:val="7FFE1D4E"/>
    <w:rsid w:val="7FFEA484"/>
    <w:rsid w:val="7FFFEF4C"/>
    <w:rsid w:val="80FBA314"/>
    <w:rsid w:val="83FF938F"/>
    <w:rsid w:val="87DF317F"/>
    <w:rsid w:val="8DFA2CA2"/>
    <w:rsid w:val="8FD6A2FC"/>
    <w:rsid w:val="8FEB5697"/>
    <w:rsid w:val="99FE607C"/>
    <w:rsid w:val="9B1BC069"/>
    <w:rsid w:val="9E7D17A2"/>
    <w:rsid w:val="9FE3AB37"/>
    <w:rsid w:val="9FE4D37F"/>
    <w:rsid w:val="A3D4AE9A"/>
    <w:rsid w:val="A77F1C6A"/>
    <w:rsid w:val="A7FFF4B3"/>
    <w:rsid w:val="ABFB0A43"/>
    <w:rsid w:val="AF77CAFC"/>
    <w:rsid w:val="AFD79E22"/>
    <w:rsid w:val="AFDFF4FD"/>
    <w:rsid w:val="AFF4A625"/>
    <w:rsid w:val="B35C69E7"/>
    <w:rsid w:val="B3FF4157"/>
    <w:rsid w:val="B53F208B"/>
    <w:rsid w:val="B5BF8820"/>
    <w:rsid w:val="B79FFC42"/>
    <w:rsid w:val="BBDE4887"/>
    <w:rsid w:val="BCEF1877"/>
    <w:rsid w:val="BD3D1926"/>
    <w:rsid w:val="BDBFB772"/>
    <w:rsid w:val="BF56FE8C"/>
    <w:rsid w:val="BF7D30E6"/>
    <w:rsid w:val="BF960B61"/>
    <w:rsid w:val="BFB1030F"/>
    <w:rsid w:val="BFF7767E"/>
    <w:rsid w:val="BFFFAC87"/>
    <w:rsid w:val="C73C4DC6"/>
    <w:rsid w:val="C74D37F1"/>
    <w:rsid w:val="CB978FB3"/>
    <w:rsid w:val="CDD6F552"/>
    <w:rsid w:val="CE7B310F"/>
    <w:rsid w:val="CFFBF8E8"/>
    <w:rsid w:val="D73F758B"/>
    <w:rsid w:val="D7F8A069"/>
    <w:rsid w:val="D7FF3960"/>
    <w:rsid w:val="D9EF927D"/>
    <w:rsid w:val="DAE6FC3E"/>
    <w:rsid w:val="DAF30C3A"/>
    <w:rsid w:val="DAFF5ABD"/>
    <w:rsid w:val="DCDF548D"/>
    <w:rsid w:val="DD6F8F83"/>
    <w:rsid w:val="DD75A694"/>
    <w:rsid w:val="DDDFBC85"/>
    <w:rsid w:val="DDFE7D03"/>
    <w:rsid w:val="DE3D6876"/>
    <w:rsid w:val="DEF7FB5C"/>
    <w:rsid w:val="DEFB2427"/>
    <w:rsid w:val="DF5C86C8"/>
    <w:rsid w:val="DFAE87CE"/>
    <w:rsid w:val="DFF0A724"/>
    <w:rsid w:val="DFFFAD1D"/>
    <w:rsid w:val="E3B5BCAC"/>
    <w:rsid w:val="E3EFCCE4"/>
    <w:rsid w:val="E3FF7465"/>
    <w:rsid w:val="E6D71ED5"/>
    <w:rsid w:val="EA9DEDD1"/>
    <w:rsid w:val="EBFCAE59"/>
    <w:rsid w:val="EC7F8673"/>
    <w:rsid w:val="ECEB8A85"/>
    <w:rsid w:val="EFCBCD76"/>
    <w:rsid w:val="EFE75D81"/>
    <w:rsid w:val="EFEF9130"/>
    <w:rsid w:val="EFFB9B5B"/>
    <w:rsid w:val="F1EEFEA5"/>
    <w:rsid w:val="F5BF4F53"/>
    <w:rsid w:val="F7F7AFE3"/>
    <w:rsid w:val="F8B730B7"/>
    <w:rsid w:val="F9F77625"/>
    <w:rsid w:val="FADE3EF6"/>
    <w:rsid w:val="FAE240DF"/>
    <w:rsid w:val="FAFE9B88"/>
    <w:rsid w:val="FB6B97A0"/>
    <w:rsid w:val="FBDFE704"/>
    <w:rsid w:val="FBF5C9C2"/>
    <w:rsid w:val="FBFF617B"/>
    <w:rsid w:val="FD788065"/>
    <w:rsid w:val="FD7A527B"/>
    <w:rsid w:val="FD975E1F"/>
    <w:rsid w:val="FDD92821"/>
    <w:rsid w:val="FDDBC0F6"/>
    <w:rsid w:val="FDF59213"/>
    <w:rsid w:val="FDF76E18"/>
    <w:rsid w:val="FDFDF76A"/>
    <w:rsid w:val="FE7F5978"/>
    <w:rsid w:val="FE87679B"/>
    <w:rsid w:val="FEBBFCEF"/>
    <w:rsid w:val="FEBC9CA0"/>
    <w:rsid w:val="FEBCBCDC"/>
    <w:rsid w:val="FECB64F7"/>
    <w:rsid w:val="FEDF22F0"/>
    <w:rsid w:val="FEE75FEC"/>
    <w:rsid w:val="FEF7359F"/>
    <w:rsid w:val="FEFE8927"/>
    <w:rsid w:val="FF176A3C"/>
    <w:rsid w:val="FF5FEE23"/>
    <w:rsid w:val="FF76C287"/>
    <w:rsid w:val="FF7F18AA"/>
    <w:rsid w:val="FF7F2D31"/>
    <w:rsid w:val="FF7F6806"/>
    <w:rsid w:val="FF935B35"/>
    <w:rsid w:val="FFAB5FD1"/>
    <w:rsid w:val="FFBF9A48"/>
    <w:rsid w:val="FFD327ED"/>
    <w:rsid w:val="FFD99B9D"/>
    <w:rsid w:val="FFDFAFDD"/>
    <w:rsid w:val="FFE7FAAF"/>
    <w:rsid w:val="FFEB0326"/>
    <w:rsid w:val="FFF6B0FE"/>
    <w:rsid w:val="FFF7732D"/>
    <w:rsid w:val="FFFB8126"/>
    <w:rsid w:val="FFFB86BC"/>
    <w:rsid w:val="FFFBA457"/>
    <w:rsid w:val="FFFC329C"/>
    <w:rsid w:val="FFFF2AB2"/>
    <w:rsid w:val="FFFF68A8"/>
    <w:rsid w:val="FFFF6F50"/>
    <w:rsid w:val="FFFFA287"/>
    <w:rsid w:val="FFFFF6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0"/>
    <w:pPr>
      <w:keepNext w:val="0"/>
      <w:keepLines w:val="0"/>
      <w:widowControl w:val="0"/>
      <w:spacing w:beforeLines="0" w:beforeAutospacing="0" w:afterLines="0" w:afterAutospacing="0" w:line="560" w:lineRule="exact"/>
      <w:ind w:firstLine="640" w:firstLineChars="200"/>
      <w:jc w:val="both"/>
      <w:outlineLvl w:val="1"/>
    </w:pPr>
    <w:rPr>
      <w:rFonts w:ascii="楷体_GB2312" w:hAnsi="楷体_GB2312" w:eastAsia="楷体_GB2312" w:cs="仿宋"/>
      <w:kern w:val="2"/>
      <w:sz w:val="32"/>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semiHidden/>
    <w:qFormat/>
    <w:uiPriority w:val="0"/>
    <w:pPr>
      <w:jc w:val="both"/>
    </w:pPr>
    <w:rPr>
      <w:sz w:val="18"/>
      <w:szCs w:val="18"/>
      <w:lang w:val="en-US" w:eastAsia="zh-CN"/>
    </w:rPr>
  </w:style>
  <w:style w:type="paragraph" w:styleId="5">
    <w:name w:val="footer"/>
    <w:basedOn w:val="1"/>
    <w:link w:val="10"/>
    <w:qFormat/>
    <w:uiPriority w:val="99"/>
    <w:pPr>
      <w:tabs>
        <w:tab w:val="center" w:pos="4153"/>
        <w:tab w:val="right" w:pos="8306"/>
      </w:tabs>
      <w:snapToGrid w:val="0"/>
      <w:jc w:val="left"/>
    </w:pPr>
    <w:rPr>
      <w:sz w:val="18"/>
      <w:szCs w:val="18"/>
      <w:lang w:val="en-US" w:eastAsia="zh-CN"/>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lang w:val="en-US" w:eastAsia="zh-CN"/>
    </w:rPr>
  </w:style>
  <w:style w:type="character" w:styleId="9">
    <w:name w:val="page number"/>
    <w:basedOn w:val="8"/>
    <w:qFormat/>
    <w:uiPriority w:val="0"/>
  </w:style>
  <w:style w:type="character" w:customStyle="1" w:styleId="10">
    <w:name w:val="页脚 Char"/>
    <w:link w:val="5"/>
    <w:qFormat/>
    <w:uiPriority w:val="99"/>
    <w:rPr>
      <w:rFonts w:eastAsia="宋体"/>
      <w:kern w:val="2"/>
      <w:sz w:val="18"/>
      <w:szCs w:val="18"/>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895</Words>
  <Characters>5102</Characters>
  <Lines>42</Lines>
  <Paragraphs>11</Paragraphs>
  <TotalTime>5</TotalTime>
  <ScaleCrop>false</ScaleCrop>
  <LinksUpToDate>false</LinksUpToDate>
  <CharactersWithSpaces>5986</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2018-08-07T23:54:00Z</dcterms:created>
  <dc:creator>莫先孔</dc:creator>
  <cp:lastModifiedBy>Inspur</cp:lastModifiedBy>
  <cp:lastPrinted>2026-09-02T08:49:05Z</cp:lastPrinted>
  <dcterms:modified xsi:type="dcterms:W3CDTF">2026-09-02T08:54:13Z</dcterms:modified>
  <dc:title>附件：（部门决算公开格式）</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4118C936FA23967D99C7836AC5879BDA_42</vt:lpwstr>
  </property>
</Properties>
</file>